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70FF03EF"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090C24">
              <w:rPr>
                <w:spacing w:val="20"/>
                <w:position w:val="6"/>
                <w:sz w:val="24"/>
                <w:szCs w:val="24"/>
              </w:rPr>
              <w:t>4</w:t>
            </w:r>
            <w:r w:rsidRPr="002C1AA0">
              <w:rPr>
                <w:spacing w:val="20"/>
                <w:position w:val="6"/>
                <w:sz w:val="24"/>
                <w:szCs w:val="24"/>
              </w:rPr>
              <w:t xml:space="preserve"> No. </w:t>
            </w:r>
            <w:r w:rsidR="00090C24">
              <w:rPr>
                <w:spacing w:val="20"/>
                <w:position w:val="6"/>
                <w:sz w:val="24"/>
                <w:szCs w:val="24"/>
              </w:rPr>
              <w:t>4</w:t>
            </w:r>
            <w:r w:rsidRPr="002C1AA0">
              <w:rPr>
                <w:spacing w:val="20"/>
                <w:position w:val="6"/>
                <w:sz w:val="24"/>
                <w:szCs w:val="24"/>
              </w:rPr>
              <w:t xml:space="preserve"> (202</w:t>
            </w:r>
            <w:r w:rsidR="00090C24">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090C24">
              <w:rPr>
                <w:spacing w:val="20"/>
                <w:position w:val="6"/>
                <w:sz w:val="24"/>
                <w:szCs w:val="24"/>
              </w:rPr>
              <w:t>6181</w:t>
            </w:r>
            <w:r w:rsidR="005968AF" w:rsidRPr="005968AF">
              <w:rPr>
                <w:spacing w:val="20"/>
                <w:position w:val="6"/>
                <w:sz w:val="24"/>
                <w:szCs w:val="24"/>
              </w:rPr>
              <w:t>-</w:t>
            </w:r>
            <w:r w:rsidR="00090C24">
              <w:rPr>
                <w:spacing w:val="20"/>
                <w:position w:val="6"/>
                <w:sz w:val="24"/>
                <w:szCs w:val="24"/>
              </w:rPr>
              <w:t>6191</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5D44ADA0" w14:textId="3930C273" w:rsidR="00693C5F" w:rsidRDefault="00445D2F" w:rsidP="00445D2F">
      <w:pPr>
        <w:pStyle w:val="Subtitle"/>
        <w:spacing w:before="240" w:after="0"/>
        <w:rPr>
          <w:b w:val="0"/>
          <w:bCs/>
        </w:rPr>
      </w:pPr>
      <w:r w:rsidRPr="00445D2F">
        <w:rPr>
          <w:b w:val="0"/>
          <w:bCs/>
          <w:lang w:val="en"/>
        </w:rPr>
        <w:t>Analysis of the Effect of Average Years of Schooling and Provincial Minimum Wages on the Human Development Index Across 38 Provinces in Indonesia (2024)</w:t>
      </w:r>
    </w:p>
    <w:p w14:paraId="186045EE" w14:textId="77777777" w:rsidR="00445D2F" w:rsidRDefault="00445D2F" w:rsidP="00445D2F">
      <w:pPr>
        <w:pStyle w:val="Subtitle"/>
        <w:spacing w:after="0"/>
        <w:rPr>
          <w:b w:val="0"/>
          <w:bCs/>
          <w:iCs/>
          <w:color w:val="404040"/>
          <w:sz w:val="20"/>
        </w:rPr>
      </w:pPr>
    </w:p>
    <w:p w14:paraId="2EC5C312" w14:textId="233EFAD9" w:rsidR="00693C5F" w:rsidRPr="00CA2057" w:rsidRDefault="00445D2F" w:rsidP="00445D2F">
      <w:pPr>
        <w:pStyle w:val="Subtitle"/>
        <w:spacing w:after="0"/>
        <w:rPr>
          <w:rStyle w:val="SubtleEmphasis"/>
          <w:b w:val="0"/>
          <w:sz w:val="20"/>
        </w:rPr>
      </w:pPr>
      <w:r w:rsidRPr="00445D2F">
        <w:rPr>
          <w:b w:val="0"/>
          <w:bCs/>
          <w:iCs/>
          <w:color w:val="404040"/>
          <w:sz w:val="20"/>
        </w:rPr>
        <w:t>M. Farid Fadhilah</w:t>
      </w:r>
      <w:r w:rsidRPr="00445D2F">
        <w:rPr>
          <w:b w:val="0"/>
          <w:bCs/>
          <w:iCs/>
          <w:color w:val="404040"/>
          <w:sz w:val="20"/>
          <w:vertAlign w:val="superscript"/>
        </w:rPr>
        <w:t>1</w:t>
      </w:r>
      <w:r w:rsidRPr="00445D2F">
        <w:rPr>
          <w:b w:val="0"/>
          <w:bCs/>
          <w:iCs/>
          <w:color w:val="404040"/>
          <w:sz w:val="20"/>
        </w:rPr>
        <w:t xml:space="preserve">, </w:t>
      </w:r>
      <w:proofErr w:type="spellStart"/>
      <w:r w:rsidRPr="00445D2F">
        <w:rPr>
          <w:b w:val="0"/>
          <w:bCs/>
          <w:iCs/>
          <w:color w:val="404040"/>
          <w:sz w:val="20"/>
        </w:rPr>
        <w:t>Misfah</w:t>
      </w:r>
      <w:proofErr w:type="spellEnd"/>
      <w:r w:rsidRPr="00445D2F">
        <w:rPr>
          <w:b w:val="0"/>
          <w:bCs/>
          <w:iCs/>
          <w:color w:val="404040"/>
          <w:sz w:val="20"/>
        </w:rPr>
        <w:t xml:space="preserve"> Salsabila</w:t>
      </w:r>
      <w:r w:rsidRPr="00445D2F">
        <w:rPr>
          <w:b w:val="0"/>
          <w:bCs/>
          <w:iCs/>
          <w:color w:val="404040"/>
          <w:sz w:val="20"/>
          <w:vertAlign w:val="superscript"/>
        </w:rPr>
        <w:t>2</w:t>
      </w:r>
      <w:r w:rsidRPr="00445D2F">
        <w:rPr>
          <w:b w:val="0"/>
          <w:bCs/>
          <w:iCs/>
          <w:color w:val="404040"/>
          <w:sz w:val="20"/>
        </w:rPr>
        <w:t xml:space="preserve">, </w:t>
      </w:r>
      <w:proofErr w:type="spellStart"/>
      <w:r w:rsidRPr="00445D2F">
        <w:rPr>
          <w:b w:val="0"/>
          <w:bCs/>
          <w:iCs/>
          <w:color w:val="404040"/>
          <w:sz w:val="20"/>
        </w:rPr>
        <w:t>Faisa</w:t>
      </w:r>
      <w:proofErr w:type="spellEnd"/>
      <w:r w:rsidRPr="00445D2F">
        <w:rPr>
          <w:b w:val="0"/>
          <w:bCs/>
          <w:iCs/>
          <w:color w:val="404040"/>
          <w:sz w:val="20"/>
        </w:rPr>
        <w:t xml:space="preserve"> </w:t>
      </w:r>
      <w:proofErr w:type="spellStart"/>
      <w:r w:rsidRPr="00445D2F">
        <w:rPr>
          <w:b w:val="0"/>
          <w:bCs/>
          <w:iCs/>
          <w:color w:val="404040"/>
          <w:sz w:val="20"/>
        </w:rPr>
        <w:t>Syahda</w:t>
      </w:r>
      <w:proofErr w:type="spellEnd"/>
      <w:r w:rsidRPr="00445D2F">
        <w:rPr>
          <w:b w:val="0"/>
          <w:bCs/>
          <w:iCs/>
          <w:color w:val="404040"/>
          <w:sz w:val="20"/>
        </w:rPr>
        <w:t xml:space="preserve"> Aufa</w:t>
      </w:r>
      <w:r w:rsidRPr="00445D2F">
        <w:rPr>
          <w:b w:val="0"/>
          <w:bCs/>
          <w:iCs/>
          <w:color w:val="404040"/>
          <w:sz w:val="20"/>
          <w:vertAlign w:val="superscript"/>
        </w:rPr>
        <w:t>3</w:t>
      </w:r>
      <w:r w:rsidRPr="00445D2F">
        <w:rPr>
          <w:b w:val="0"/>
          <w:bCs/>
          <w:iCs/>
          <w:color w:val="404040"/>
          <w:sz w:val="20"/>
        </w:rPr>
        <w:t xml:space="preserve">, </w:t>
      </w:r>
      <w:proofErr w:type="spellStart"/>
      <w:r w:rsidRPr="00445D2F">
        <w:rPr>
          <w:b w:val="0"/>
          <w:bCs/>
          <w:iCs/>
          <w:color w:val="404040"/>
          <w:sz w:val="20"/>
        </w:rPr>
        <w:t>Oliviani</w:t>
      </w:r>
      <w:proofErr w:type="spellEnd"/>
      <w:r w:rsidRPr="00445D2F">
        <w:rPr>
          <w:b w:val="0"/>
          <w:bCs/>
          <w:iCs/>
          <w:color w:val="404040"/>
          <w:sz w:val="20"/>
        </w:rPr>
        <w:t xml:space="preserve"> Yulianti</w:t>
      </w:r>
      <w:r w:rsidRPr="00445D2F">
        <w:rPr>
          <w:b w:val="0"/>
          <w:bCs/>
          <w:iCs/>
          <w:color w:val="404040"/>
          <w:sz w:val="20"/>
          <w:vertAlign w:val="superscript"/>
        </w:rPr>
        <w:t>4</w:t>
      </w:r>
      <w:r w:rsidRPr="00445D2F">
        <w:rPr>
          <w:b w:val="0"/>
          <w:bCs/>
          <w:iCs/>
          <w:color w:val="404040"/>
          <w:sz w:val="20"/>
        </w:rPr>
        <w:t xml:space="preserve">, Ratu </w:t>
      </w:r>
      <w:proofErr w:type="spellStart"/>
      <w:r w:rsidRPr="00445D2F">
        <w:rPr>
          <w:b w:val="0"/>
          <w:bCs/>
          <w:iCs/>
          <w:color w:val="404040"/>
          <w:sz w:val="20"/>
        </w:rPr>
        <w:t>Salza</w:t>
      </w:r>
      <w:proofErr w:type="spellEnd"/>
      <w:r w:rsidRPr="00445D2F">
        <w:rPr>
          <w:b w:val="0"/>
          <w:bCs/>
          <w:iCs/>
          <w:color w:val="404040"/>
          <w:sz w:val="20"/>
        </w:rPr>
        <w:t xml:space="preserve"> Alya Sabila</w:t>
      </w:r>
      <w:r w:rsidRPr="00445D2F">
        <w:rPr>
          <w:b w:val="0"/>
          <w:bCs/>
          <w:iCs/>
          <w:color w:val="404040"/>
          <w:sz w:val="20"/>
          <w:vertAlign w:val="superscript"/>
        </w:rPr>
        <w:t>5</w:t>
      </w:r>
    </w:p>
    <w:p w14:paraId="5F427A65" w14:textId="7C356592" w:rsidR="00445D2F" w:rsidRPr="00090C24" w:rsidRDefault="00445D2F" w:rsidP="00090C24">
      <w:pPr>
        <w:pStyle w:val="Subtitle"/>
        <w:spacing w:after="0"/>
        <w:rPr>
          <w:rStyle w:val="SubtleEmphasis"/>
          <w:b w:val="0"/>
          <w:szCs w:val="18"/>
        </w:rPr>
      </w:pPr>
      <w:r w:rsidRPr="00090C24">
        <w:rPr>
          <w:b w:val="0"/>
          <w:iCs/>
          <w:color w:val="404040"/>
          <w:sz w:val="18"/>
          <w:szCs w:val="18"/>
        </w:rPr>
        <w:t xml:space="preserve">Development Economics Study Program Sultan </w:t>
      </w:r>
      <w:proofErr w:type="spellStart"/>
      <w:r w:rsidRPr="00090C24">
        <w:rPr>
          <w:b w:val="0"/>
          <w:iCs/>
          <w:color w:val="404040"/>
          <w:sz w:val="18"/>
          <w:szCs w:val="18"/>
        </w:rPr>
        <w:t>Ageng</w:t>
      </w:r>
      <w:proofErr w:type="spellEnd"/>
      <w:r w:rsidRPr="00090C24">
        <w:rPr>
          <w:b w:val="0"/>
          <w:iCs/>
          <w:color w:val="404040"/>
          <w:sz w:val="18"/>
          <w:szCs w:val="18"/>
        </w:rPr>
        <w:t xml:space="preserve"> </w:t>
      </w:r>
      <w:proofErr w:type="spellStart"/>
      <w:r w:rsidRPr="00090C24">
        <w:rPr>
          <w:b w:val="0"/>
          <w:iCs/>
          <w:color w:val="404040"/>
          <w:sz w:val="18"/>
          <w:szCs w:val="18"/>
        </w:rPr>
        <w:t>Tirtayasay</w:t>
      </w:r>
      <w:proofErr w:type="spellEnd"/>
      <w:r w:rsidRPr="00090C24">
        <w:rPr>
          <w:b w:val="0"/>
          <w:iCs/>
          <w:color w:val="404040"/>
          <w:sz w:val="18"/>
          <w:szCs w:val="18"/>
        </w:rPr>
        <w:t xml:space="preserve">, University, </w:t>
      </w:r>
      <w:proofErr w:type="spellStart"/>
      <w:r w:rsidRPr="00090C24">
        <w:rPr>
          <w:b w:val="0"/>
          <w:iCs/>
          <w:color w:val="404040"/>
          <w:sz w:val="18"/>
          <w:szCs w:val="18"/>
        </w:rPr>
        <w:t>Serang</w:t>
      </w:r>
      <w:proofErr w:type="spellEnd"/>
      <w:r w:rsidRPr="00090C24">
        <w:rPr>
          <w:b w:val="0"/>
          <w:iCs/>
          <w:color w:val="404040"/>
          <w:sz w:val="18"/>
          <w:szCs w:val="18"/>
        </w:rPr>
        <w:t xml:space="preserve"> City Banten, Indonesia</w:t>
      </w:r>
    </w:p>
    <w:p w14:paraId="19ADA142" w14:textId="40B75DB8" w:rsidR="00445D2F" w:rsidRPr="00090C24" w:rsidRDefault="009E6851" w:rsidP="00090C24">
      <w:pPr>
        <w:pStyle w:val="Heading1"/>
        <w:spacing w:before="0"/>
        <w:jc w:val="center"/>
        <w:rPr>
          <w:i/>
          <w:iCs/>
          <w:sz w:val="18"/>
          <w:szCs w:val="18"/>
          <w:vertAlign w:val="superscript"/>
          <w:lang w:val="id-ID"/>
        </w:rPr>
      </w:pPr>
      <w:hyperlink r:id="rId9" w:history="1">
        <w:r w:rsidR="00445D2F" w:rsidRPr="00090C24">
          <w:rPr>
            <w:rStyle w:val="Hyperlink"/>
            <w:i/>
            <w:iCs/>
            <w:sz w:val="18"/>
            <w:szCs w:val="18"/>
            <w:lang w:val="id-ID"/>
          </w:rPr>
          <w:t>faridfadhilah163@gmail.com</w:t>
        </w:r>
        <w:r w:rsidR="00445D2F" w:rsidRPr="00090C24">
          <w:rPr>
            <w:rStyle w:val="Hyperlink"/>
            <w:i/>
            <w:iCs/>
            <w:sz w:val="18"/>
            <w:szCs w:val="18"/>
            <w:vertAlign w:val="superscript"/>
          </w:rPr>
          <w:t>1</w:t>
        </w:r>
        <w:r w:rsidR="00445D2F" w:rsidRPr="00090C24">
          <w:rPr>
            <w:rStyle w:val="Hyperlink"/>
            <w:i/>
            <w:iCs/>
            <w:sz w:val="18"/>
            <w:szCs w:val="18"/>
            <w:lang w:val="id-ID"/>
          </w:rPr>
          <w:t>,</w:t>
        </w:r>
      </w:hyperlink>
      <w:r w:rsidR="00445D2F" w:rsidRPr="00090C24">
        <w:rPr>
          <w:i/>
          <w:iCs/>
          <w:sz w:val="18"/>
          <w:szCs w:val="18"/>
        </w:rPr>
        <w:t xml:space="preserve"> </w:t>
      </w:r>
      <w:hyperlink r:id="rId10">
        <w:r w:rsidR="00445D2F" w:rsidRPr="00090C24">
          <w:rPr>
            <w:rStyle w:val="Hyperlink"/>
            <w:i/>
            <w:iCs/>
            <w:sz w:val="18"/>
            <w:szCs w:val="18"/>
            <w:lang w:val="id-ID"/>
          </w:rPr>
          <w:t>msfhsblaa.09@gmail.com</w:t>
        </w:r>
      </w:hyperlink>
      <w:r w:rsidR="00445D2F" w:rsidRPr="00090C24">
        <w:rPr>
          <w:i/>
          <w:iCs/>
          <w:sz w:val="18"/>
          <w:szCs w:val="18"/>
          <w:vertAlign w:val="superscript"/>
        </w:rPr>
        <w:t>2</w:t>
      </w:r>
      <w:r w:rsidR="00445D2F" w:rsidRPr="00090C24">
        <w:rPr>
          <w:i/>
          <w:iCs/>
          <w:sz w:val="18"/>
          <w:szCs w:val="18"/>
          <w:lang w:val="id-ID"/>
        </w:rPr>
        <w:t xml:space="preserve">, </w:t>
      </w:r>
      <w:r w:rsidR="00445D2F" w:rsidRPr="00090C24">
        <w:rPr>
          <w:i/>
          <w:iCs/>
          <w:sz w:val="18"/>
          <w:szCs w:val="18"/>
        </w:rPr>
        <w:fldChar w:fldCharType="begin"/>
      </w:r>
      <w:r w:rsidR="00445D2F" w:rsidRPr="00090C24">
        <w:rPr>
          <w:i/>
          <w:iCs/>
          <w:sz w:val="18"/>
          <w:szCs w:val="18"/>
        </w:rPr>
        <w:instrText xml:space="preserve"> HYPERLINK "mailto:faisaaufa25@gmail.com" \h </w:instrText>
      </w:r>
      <w:r w:rsidR="00445D2F" w:rsidRPr="00090C24">
        <w:rPr>
          <w:i/>
          <w:iCs/>
          <w:sz w:val="18"/>
          <w:szCs w:val="18"/>
        </w:rPr>
        <w:fldChar w:fldCharType="separate"/>
      </w:r>
      <w:r w:rsidR="00445D2F" w:rsidRPr="00090C24">
        <w:rPr>
          <w:rStyle w:val="Hyperlink"/>
          <w:i/>
          <w:iCs/>
          <w:sz w:val="18"/>
          <w:szCs w:val="18"/>
          <w:lang w:val="id-ID"/>
        </w:rPr>
        <w:t>faisaaufa25@gmail.com</w:t>
      </w:r>
      <w:r w:rsidR="00445D2F" w:rsidRPr="00090C24">
        <w:rPr>
          <w:i/>
          <w:iCs/>
          <w:sz w:val="18"/>
          <w:szCs w:val="18"/>
        </w:rPr>
        <w:fldChar w:fldCharType="end"/>
      </w:r>
      <w:r w:rsidR="00445D2F" w:rsidRPr="00090C24">
        <w:rPr>
          <w:i/>
          <w:iCs/>
          <w:sz w:val="18"/>
          <w:szCs w:val="18"/>
          <w:vertAlign w:val="superscript"/>
        </w:rPr>
        <w:t>3</w:t>
      </w:r>
      <w:r w:rsidR="00445D2F" w:rsidRPr="00090C24">
        <w:rPr>
          <w:i/>
          <w:iCs/>
          <w:sz w:val="18"/>
          <w:szCs w:val="18"/>
          <w:lang w:val="id-ID"/>
        </w:rPr>
        <w:t xml:space="preserve">, </w:t>
      </w:r>
      <w:r w:rsidR="00445D2F" w:rsidRPr="00090C24">
        <w:rPr>
          <w:i/>
          <w:iCs/>
          <w:sz w:val="18"/>
          <w:szCs w:val="18"/>
        </w:rPr>
        <w:fldChar w:fldCharType="begin"/>
      </w:r>
      <w:r w:rsidR="00445D2F" w:rsidRPr="00090C24">
        <w:rPr>
          <w:i/>
          <w:iCs/>
          <w:sz w:val="18"/>
          <w:szCs w:val="18"/>
        </w:rPr>
        <w:instrText xml:space="preserve"> HYPERLINK "mailto:olivialivvy26@gmail.com" \h </w:instrText>
      </w:r>
      <w:r w:rsidR="00445D2F" w:rsidRPr="00090C24">
        <w:rPr>
          <w:i/>
          <w:iCs/>
          <w:sz w:val="18"/>
          <w:szCs w:val="18"/>
        </w:rPr>
        <w:fldChar w:fldCharType="separate"/>
      </w:r>
      <w:r w:rsidR="00445D2F" w:rsidRPr="00090C24">
        <w:rPr>
          <w:rStyle w:val="Hyperlink"/>
          <w:i/>
          <w:iCs/>
          <w:sz w:val="18"/>
          <w:szCs w:val="18"/>
          <w:lang w:val="id-ID"/>
        </w:rPr>
        <w:t>olivialivvy26@gmail.com</w:t>
      </w:r>
      <w:r w:rsidR="00445D2F" w:rsidRPr="00090C24">
        <w:rPr>
          <w:i/>
          <w:iCs/>
          <w:sz w:val="18"/>
          <w:szCs w:val="18"/>
        </w:rPr>
        <w:fldChar w:fldCharType="end"/>
      </w:r>
      <w:r w:rsidR="00445D2F" w:rsidRPr="00090C24">
        <w:rPr>
          <w:i/>
          <w:iCs/>
          <w:sz w:val="18"/>
          <w:szCs w:val="18"/>
          <w:vertAlign w:val="superscript"/>
        </w:rPr>
        <w:t>4</w:t>
      </w:r>
      <w:r w:rsidR="00445D2F" w:rsidRPr="00090C24">
        <w:rPr>
          <w:i/>
          <w:iCs/>
          <w:sz w:val="18"/>
          <w:szCs w:val="18"/>
          <w:lang w:val="id-ID"/>
        </w:rPr>
        <w:t xml:space="preserve">, </w:t>
      </w:r>
      <w:r w:rsidR="00445D2F" w:rsidRPr="00090C24">
        <w:rPr>
          <w:i/>
          <w:iCs/>
          <w:sz w:val="18"/>
          <w:szCs w:val="18"/>
        </w:rPr>
        <w:fldChar w:fldCharType="begin"/>
      </w:r>
      <w:r w:rsidR="00445D2F" w:rsidRPr="00090C24">
        <w:rPr>
          <w:i/>
          <w:iCs/>
          <w:sz w:val="18"/>
          <w:szCs w:val="18"/>
        </w:rPr>
        <w:instrText xml:space="preserve"> HYPERLINK "mailto:ratusalzaalyasabila@gmail.com" \h </w:instrText>
      </w:r>
      <w:r w:rsidR="00445D2F" w:rsidRPr="00090C24">
        <w:rPr>
          <w:i/>
          <w:iCs/>
          <w:sz w:val="18"/>
          <w:szCs w:val="18"/>
        </w:rPr>
        <w:fldChar w:fldCharType="separate"/>
      </w:r>
      <w:r w:rsidR="00445D2F" w:rsidRPr="00090C24">
        <w:rPr>
          <w:rStyle w:val="Hyperlink"/>
          <w:i/>
          <w:iCs/>
          <w:sz w:val="18"/>
          <w:szCs w:val="18"/>
          <w:lang w:val="id-ID"/>
        </w:rPr>
        <w:t>ratusalzaalyasabila@gmail.com</w:t>
      </w:r>
      <w:r w:rsidR="00445D2F" w:rsidRPr="00090C24">
        <w:rPr>
          <w:i/>
          <w:iCs/>
          <w:sz w:val="18"/>
          <w:szCs w:val="18"/>
        </w:rPr>
        <w:fldChar w:fldCharType="end"/>
      </w:r>
      <w:r w:rsidR="00445D2F" w:rsidRPr="00090C24">
        <w:rPr>
          <w:i/>
          <w:iCs/>
          <w:sz w:val="18"/>
          <w:szCs w:val="18"/>
          <w:vertAlign w:val="superscript"/>
        </w:rPr>
        <w:t>5</w:t>
      </w:r>
    </w:p>
    <w:p w14:paraId="16C539DB" w14:textId="6E01C7A6" w:rsidR="0065051F" w:rsidRDefault="00DF0BEE" w:rsidP="00445D2F">
      <w:pPr>
        <w:pStyle w:val="Heading1"/>
        <w:spacing w:before="0"/>
        <w:rPr>
          <w:i/>
          <w:iCs/>
        </w:rPr>
      </w:pPr>
      <w:r w:rsidRPr="006126CE">
        <w:rPr>
          <w:i/>
          <w:iCs/>
        </w:rPr>
        <w:t xml:space="preserve">Abstract </w:t>
      </w:r>
    </w:p>
    <w:p w14:paraId="555526C9" w14:textId="33C073ED" w:rsidR="00445D2F" w:rsidRPr="00090C24" w:rsidRDefault="00445D2F" w:rsidP="00445D2F">
      <w:pPr>
        <w:rPr>
          <w:i/>
          <w:iCs/>
          <w:sz w:val="18"/>
          <w:szCs w:val="18"/>
        </w:rPr>
      </w:pPr>
      <w:r w:rsidRPr="00090C24">
        <w:rPr>
          <w:i/>
          <w:iCs/>
          <w:sz w:val="18"/>
          <w:szCs w:val="18"/>
        </w:rPr>
        <w:t xml:space="preserve">The Human Development Index (HDI) is a key indicator for assessing development progress through three dimensions: health, education, and standard of living. This study is motivated by persistent disparities in HDI achievements across Indonesian provinces, where western regions generally show higher development performance compared to eastern regions that continue to face limited access to basic services, inadequate infrastructure, and lower human capital quality. These differences indicate that national improvements in HDI have not yet reflected equitable </w:t>
      </w:r>
      <w:proofErr w:type="spellStart"/>
      <w:proofErr w:type="gramStart"/>
      <w:r w:rsidRPr="00090C24">
        <w:rPr>
          <w:i/>
          <w:iCs/>
          <w:sz w:val="18"/>
          <w:szCs w:val="18"/>
        </w:rPr>
        <w:t>development.The</w:t>
      </w:r>
      <w:proofErr w:type="spellEnd"/>
      <w:proofErr w:type="gramEnd"/>
      <w:r w:rsidRPr="00090C24">
        <w:rPr>
          <w:i/>
          <w:iCs/>
          <w:sz w:val="18"/>
          <w:szCs w:val="18"/>
        </w:rPr>
        <w:t xml:space="preserve"> purpose of this research is to analyze HDI trends across 38 provinces in Indonesia, identify factors contributing to regional gaps, and examine the influence of Average Years of Schooling (AYS) and the Provincial Minimum Wage (PMW) on HDI in 2024. This study uses secondary data from the Central Bureau of Statistics and employs a descriptive approach combined with multiple linear regression using SPSS. The analytical procedures include classical assumption tests, the F-test, t-test, correlation analysis, and the coefficient of determination to assess model feasibility and the significance of each </w:t>
      </w:r>
      <w:proofErr w:type="spellStart"/>
      <w:proofErr w:type="gramStart"/>
      <w:r w:rsidRPr="00090C24">
        <w:rPr>
          <w:i/>
          <w:iCs/>
          <w:sz w:val="18"/>
          <w:szCs w:val="18"/>
        </w:rPr>
        <w:t>variable.The</w:t>
      </w:r>
      <w:proofErr w:type="spellEnd"/>
      <w:proofErr w:type="gramEnd"/>
      <w:r w:rsidRPr="00090C24">
        <w:rPr>
          <w:i/>
          <w:iCs/>
          <w:sz w:val="18"/>
          <w:szCs w:val="18"/>
        </w:rPr>
        <w:t xml:space="preserve"> results show that education and wage policies play an important role in improving HDI, particularly through greater access to education, enhanced public services, and improved living standards. These findings provide policy implications for provincial governments to promote more balanced development, especially by strengthening education, expanding healthcare services, and improving economic welfare in less developed regions.</w:t>
      </w:r>
    </w:p>
    <w:p w14:paraId="1F641368" w14:textId="639953AA" w:rsidR="00DF0BEE" w:rsidRPr="00090C24" w:rsidRDefault="00DF0BEE" w:rsidP="00445D2F">
      <w:pPr>
        <w:rPr>
          <w:i/>
          <w:iCs/>
          <w:sz w:val="18"/>
          <w:szCs w:val="18"/>
          <w:lang w:val="id-ID"/>
        </w:rPr>
      </w:pPr>
      <w:r w:rsidRPr="00090C24">
        <w:rPr>
          <w:rStyle w:val="SubtleEmphasis"/>
          <w:b/>
          <w:bCs/>
          <w:i/>
          <w:szCs w:val="18"/>
        </w:rPr>
        <w:t>Keywords</w:t>
      </w:r>
      <w:r w:rsidRPr="00090C24">
        <w:rPr>
          <w:rStyle w:val="SubtleEmphasis"/>
          <w:i/>
          <w:szCs w:val="18"/>
        </w:rPr>
        <w:t>:</w:t>
      </w:r>
      <w:r w:rsidRPr="00090C24">
        <w:rPr>
          <w:i/>
          <w:iCs/>
          <w:sz w:val="18"/>
          <w:szCs w:val="18"/>
          <w:lang w:val="id-ID"/>
        </w:rPr>
        <w:t xml:space="preserve"> </w:t>
      </w:r>
      <w:r w:rsidR="00445D2F" w:rsidRPr="00090C24">
        <w:rPr>
          <w:i/>
          <w:iCs/>
          <w:sz w:val="18"/>
          <w:szCs w:val="18"/>
          <w:lang w:val="id-ID"/>
        </w:rPr>
        <w:t>Human Development Index</w:t>
      </w:r>
      <w:r w:rsidR="00445D2F" w:rsidRPr="00090C24">
        <w:rPr>
          <w:i/>
          <w:iCs/>
          <w:sz w:val="18"/>
          <w:szCs w:val="18"/>
        </w:rPr>
        <w:t xml:space="preserve">, </w:t>
      </w:r>
      <w:r w:rsidR="00445D2F" w:rsidRPr="00090C24">
        <w:rPr>
          <w:i/>
          <w:iCs/>
          <w:sz w:val="18"/>
          <w:szCs w:val="18"/>
          <w:lang w:val="id-ID"/>
        </w:rPr>
        <w:t>Minimum Wage</w:t>
      </w:r>
      <w:r w:rsidR="00445D2F" w:rsidRPr="00090C24">
        <w:rPr>
          <w:i/>
          <w:iCs/>
          <w:sz w:val="18"/>
          <w:szCs w:val="18"/>
        </w:rPr>
        <w:t xml:space="preserve">, </w:t>
      </w:r>
      <w:r w:rsidR="00445D2F" w:rsidRPr="00090C24">
        <w:rPr>
          <w:i/>
          <w:iCs/>
          <w:sz w:val="18"/>
          <w:szCs w:val="18"/>
          <w:lang w:val="id-ID"/>
        </w:rPr>
        <w:t>Regional Development</w:t>
      </w:r>
      <w:r w:rsidR="00445D2F" w:rsidRPr="00090C24">
        <w:rPr>
          <w:i/>
          <w:iCs/>
          <w:sz w:val="18"/>
          <w:szCs w:val="18"/>
        </w:rPr>
        <w:t xml:space="preserve">, </w:t>
      </w:r>
      <w:r w:rsidR="00445D2F" w:rsidRPr="00090C24">
        <w:rPr>
          <w:i/>
          <w:iCs/>
          <w:sz w:val="18"/>
          <w:szCs w:val="18"/>
          <w:lang w:val="id-ID"/>
        </w:rPr>
        <w:t>Years of Schooling</w:t>
      </w:r>
    </w:p>
    <w:p w14:paraId="6E5137CC" w14:textId="7355EB36" w:rsidR="00BD5748" w:rsidRPr="00BD5748" w:rsidRDefault="00BD5748" w:rsidP="00BD5748">
      <w:pPr>
        <w:rPr>
          <w:b/>
          <w:bCs/>
        </w:rPr>
        <w:sectPr w:rsidR="00BD5748" w:rsidRPr="00BD5748" w:rsidSect="00090C24">
          <w:headerReference w:type="default" r:id="rId11"/>
          <w:footerReference w:type="default" r:id="rId12"/>
          <w:footerReference w:type="first" r:id="rId13"/>
          <w:pgSz w:w="11906" w:h="16838" w:code="9"/>
          <w:pgMar w:top="1418" w:right="1418" w:bottom="1418" w:left="1418" w:header="709" w:footer="709" w:gutter="0"/>
          <w:pgNumType w:start="6181"/>
          <w:cols w:space="720"/>
          <w:titlePg/>
          <w:docGrid w:linePitch="360"/>
        </w:sectPr>
      </w:pPr>
    </w:p>
    <w:p w14:paraId="1FA416F3" w14:textId="7439750F" w:rsidR="00DF0BEE" w:rsidRPr="008717E0" w:rsidRDefault="0065051F" w:rsidP="00190B77">
      <w:pPr>
        <w:pStyle w:val="ListParagraph"/>
        <w:numPr>
          <w:ilvl w:val="0"/>
          <w:numId w:val="7"/>
        </w:numPr>
        <w:spacing w:after="120"/>
        <w:ind w:left="284" w:hanging="284"/>
        <w:rPr>
          <w:b/>
          <w:bCs/>
        </w:rPr>
      </w:pPr>
      <w:r w:rsidRPr="00CA2057">
        <w:rPr>
          <w:b/>
          <w:bCs/>
          <w:lang w:val="en"/>
        </w:rPr>
        <w:t>Introduction</w:t>
      </w:r>
      <w:r w:rsidR="00DF0BEE" w:rsidRPr="008717E0">
        <w:rPr>
          <w:b/>
          <w:bCs/>
        </w:rPr>
        <w:t xml:space="preserve"> </w:t>
      </w:r>
    </w:p>
    <w:p w14:paraId="770E880A" w14:textId="3BF23FEC" w:rsidR="00445D2F" w:rsidRDefault="00445D2F" w:rsidP="00090C24">
      <w:pPr>
        <w:ind w:firstLine="284"/>
        <w:rPr>
          <w:szCs w:val="20"/>
        </w:rPr>
      </w:pPr>
      <w:r w:rsidRPr="00445D2F">
        <w:rPr>
          <w:szCs w:val="20"/>
        </w:rPr>
        <w:t>Human development is a fundamental measure of a country's economic success, reflecting not only improvements in well-being but also the quality of human resources, which determines a nation's competitiveness. In the inter-Provincial Indonesian context, the Human Development Index (HDI) is a key indicator that illustrates development achievements in education, health, and a decent standard of living.</w:t>
      </w:r>
      <w:r>
        <w:rPr>
          <w:szCs w:val="20"/>
        </w:rPr>
        <w:t xml:space="preserve"> </w:t>
      </w:r>
      <w:r w:rsidRPr="00445D2F">
        <w:rPr>
          <w:szCs w:val="20"/>
          <w:lang w:val="en"/>
        </w:rPr>
        <w:t xml:space="preserve">To understand the condition and distribution of human development achievements in the </w:t>
      </w:r>
      <w:r w:rsidRPr="00445D2F">
        <w:rPr>
          <w:szCs w:val="20"/>
        </w:rPr>
        <w:t>inter-Provincial</w:t>
      </w:r>
      <w:r w:rsidRPr="00445D2F">
        <w:rPr>
          <w:szCs w:val="20"/>
          <w:lang w:val="en"/>
        </w:rPr>
        <w:t xml:space="preserve"> Indonesia, it is necessary to review the Human Development Index (HDI) in each province. The following data presents the Human Development Index values ​​for in the </w:t>
      </w:r>
      <w:r w:rsidRPr="00445D2F">
        <w:rPr>
          <w:szCs w:val="20"/>
        </w:rPr>
        <w:t>inter-Provincial</w:t>
      </w:r>
      <w:r w:rsidRPr="00445D2F">
        <w:rPr>
          <w:szCs w:val="20"/>
          <w:lang w:val="en"/>
        </w:rPr>
        <w:t xml:space="preserve"> Indonesia in 2024, which can illustrate differences in levels of well-being and human resource quality across regions.</w:t>
      </w:r>
    </w:p>
    <w:p w14:paraId="7164B1F9" w14:textId="77777777" w:rsidR="00445D2F" w:rsidRPr="00445D2F" w:rsidRDefault="00445D2F" w:rsidP="00445D2F">
      <w:pPr>
        <w:spacing w:line="360" w:lineRule="auto"/>
        <w:ind w:firstLine="562"/>
        <w:jc w:val="center"/>
        <w:rPr>
          <w:color w:val="000000" w:themeColor="text1"/>
          <w:szCs w:val="20"/>
          <w:lang w:val="en-ID"/>
        </w:rPr>
      </w:pPr>
      <w:r w:rsidRPr="00445D2F">
        <w:rPr>
          <w:color w:val="000000" w:themeColor="text1"/>
          <w:szCs w:val="20"/>
          <w:lang w:val="en"/>
        </w:rPr>
        <w:t xml:space="preserve">Table 1. Human Development Index of </w:t>
      </w:r>
      <w:r w:rsidRPr="00445D2F">
        <w:rPr>
          <w:szCs w:val="20"/>
          <w:lang w:val="en"/>
        </w:rPr>
        <w:t xml:space="preserve">in the </w:t>
      </w:r>
      <w:r w:rsidRPr="00445D2F">
        <w:rPr>
          <w:szCs w:val="20"/>
        </w:rPr>
        <w:t>inter-Provincial</w:t>
      </w:r>
      <w:r w:rsidRPr="00445D2F">
        <w:rPr>
          <w:color w:val="000000" w:themeColor="text1"/>
          <w:szCs w:val="20"/>
          <w:lang w:val="en"/>
        </w:rPr>
        <w:t xml:space="preserve"> in </w:t>
      </w:r>
      <w:proofErr w:type="spellStart"/>
      <w:r w:rsidRPr="00445D2F">
        <w:rPr>
          <w:color w:val="000000" w:themeColor="text1"/>
          <w:szCs w:val="20"/>
          <w:lang w:val="en"/>
        </w:rPr>
        <w:t>indonesian</w:t>
      </w:r>
      <w:proofErr w:type="spellEnd"/>
      <w:r w:rsidRPr="00445D2F">
        <w:rPr>
          <w:color w:val="000000" w:themeColor="text1"/>
          <w:szCs w:val="20"/>
          <w:lang w:val="en"/>
        </w:rPr>
        <w:t xml:space="preserve"> 2024</w:t>
      </w:r>
    </w:p>
    <w:tbl>
      <w:tblPr>
        <w:tblW w:w="8140" w:type="dxa"/>
        <w:tblInd w:w="924" w:type="dxa"/>
        <w:tblLook w:val="04A0" w:firstRow="1" w:lastRow="0" w:firstColumn="1" w:lastColumn="0" w:noHBand="0" w:noVBand="1"/>
      </w:tblPr>
      <w:tblGrid>
        <w:gridCol w:w="2660"/>
        <w:gridCol w:w="1720"/>
        <w:gridCol w:w="2740"/>
        <w:gridCol w:w="1020"/>
      </w:tblGrid>
      <w:tr w:rsidR="00434A3A" w:rsidRPr="00434A3A" w14:paraId="100B61BA" w14:textId="77777777" w:rsidTr="00434A3A">
        <w:trPr>
          <w:trHeight w:val="288"/>
        </w:trPr>
        <w:tc>
          <w:tcPr>
            <w:tcW w:w="266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1FA723" w14:textId="77777777" w:rsidR="00434A3A" w:rsidRPr="00434A3A" w:rsidRDefault="00434A3A" w:rsidP="00434A3A">
            <w:pPr>
              <w:spacing w:after="0"/>
              <w:jc w:val="center"/>
              <w:rPr>
                <w:rFonts w:ascii="Calibri" w:eastAsia="Times New Roman" w:hAnsi="Calibri" w:cs="Calibri"/>
                <w:b/>
                <w:bCs/>
                <w:color w:val="000000"/>
                <w:sz w:val="22"/>
                <w:lang w:val="en-ID" w:eastAsia="en-ID"/>
              </w:rPr>
            </w:pPr>
            <w:proofErr w:type="spellStart"/>
            <w:r w:rsidRPr="00434A3A">
              <w:rPr>
                <w:rFonts w:ascii="Calibri" w:eastAsia="Times New Roman" w:hAnsi="Calibri" w:cs="Calibri"/>
                <w:b/>
                <w:bCs/>
                <w:color w:val="000000"/>
                <w:sz w:val="22"/>
                <w:lang w:val="en-ID" w:eastAsia="en-ID"/>
              </w:rPr>
              <w:t>Provinsi</w:t>
            </w:r>
            <w:proofErr w:type="spellEnd"/>
            <w:r w:rsidRPr="00434A3A">
              <w:rPr>
                <w:rFonts w:ascii="Calibri" w:eastAsia="Times New Roman" w:hAnsi="Calibri" w:cs="Calibri"/>
                <w:b/>
                <w:bCs/>
                <w:color w:val="000000"/>
                <w:sz w:val="22"/>
                <w:lang w:val="en-ID" w:eastAsia="en-ID"/>
              </w:rPr>
              <w:t xml:space="preserve"> </w:t>
            </w:r>
          </w:p>
        </w:tc>
        <w:tc>
          <w:tcPr>
            <w:tcW w:w="1720" w:type="dxa"/>
            <w:tcBorders>
              <w:top w:val="single" w:sz="4" w:space="0" w:color="auto"/>
              <w:left w:val="nil"/>
              <w:bottom w:val="single" w:sz="4" w:space="0" w:color="auto"/>
              <w:right w:val="single" w:sz="4" w:space="0" w:color="auto"/>
            </w:tcBorders>
            <w:shd w:val="clear" w:color="000000" w:fill="FFFF00"/>
            <w:noWrap/>
            <w:vAlign w:val="center"/>
            <w:hideMark/>
          </w:tcPr>
          <w:p w14:paraId="345BA1B0" w14:textId="77777777" w:rsidR="00434A3A" w:rsidRPr="00434A3A" w:rsidRDefault="00434A3A" w:rsidP="00434A3A">
            <w:pPr>
              <w:spacing w:after="0"/>
              <w:jc w:val="center"/>
              <w:rPr>
                <w:rFonts w:ascii="Calibri" w:eastAsia="Times New Roman" w:hAnsi="Calibri" w:cs="Calibri"/>
                <w:b/>
                <w:bCs/>
                <w:color w:val="000000"/>
                <w:sz w:val="22"/>
                <w:lang w:val="en-ID" w:eastAsia="en-ID"/>
              </w:rPr>
            </w:pPr>
            <w:r w:rsidRPr="00434A3A">
              <w:rPr>
                <w:rFonts w:ascii="Calibri" w:eastAsia="Times New Roman" w:hAnsi="Calibri" w:cs="Calibri"/>
                <w:b/>
                <w:bCs/>
                <w:color w:val="000000"/>
                <w:sz w:val="22"/>
                <w:lang w:val="en-ID" w:eastAsia="en-ID"/>
              </w:rPr>
              <w:t>IPM</w:t>
            </w:r>
          </w:p>
        </w:tc>
        <w:tc>
          <w:tcPr>
            <w:tcW w:w="2740" w:type="dxa"/>
            <w:tcBorders>
              <w:top w:val="single" w:sz="4" w:space="0" w:color="auto"/>
              <w:left w:val="nil"/>
              <w:bottom w:val="single" w:sz="4" w:space="0" w:color="auto"/>
              <w:right w:val="single" w:sz="4" w:space="0" w:color="auto"/>
            </w:tcBorders>
            <w:shd w:val="clear" w:color="000000" w:fill="FFFF00"/>
            <w:noWrap/>
            <w:vAlign w:val="bottom"/>
            <w:hideMark/>
          </w:tcPr>
          <w:p w14:paraId="3A56AAB7" w14:textId="77777777" w:rsidR="00434A3A" w:rsidRPr="00434A3A" w:rsidRDefault="00434A3A" w:rsidP="00434A3A">
            <w:pPr>
              <w:spacing w:after="0"/>
              <w:jc w:val="center"/>
              <w:rPr>
                <w:rFonts w:ascii="Calibri" w:eastAsia="Times New Roman" w:hAnsi="Calibri" w:cs="Calibri"/>
                <w:b/>
                <w:bCs/>
                <w:color w:val="000000"/>
                <w:sz w:val="22"/>
                <w:lang w:val="en-ID" w:eastAsia="en-ID"/>
              </w:rPr>
            </w:pPr>
            <w:proofErr w:type="spellStart"/>
            <w:r w:rsidRPr="00434A3A">
              <w:rPr>
                <w:rFonts w:ascii="Calibri" w:eastAsia="Times New Roman" w:hAnsi="Calibri" w:cs="Calibri"/>
                <w:b/>
                <w:bCs/>
                <w:color w:val="000000"/>
                <w:sz w:val="22"/>
                <w:lang w:val="en-ID" w:eastAsia="en-ID"/>
              </w:rPr>
              <w:t>Provinsi</w:t>
            </w:r>
            <w:proofErr w:type="spellEnd"/>
            <w:r w:rsidRPr="00434A3A">
              <w:rPr>
                <w:rFonts w:ascii="Calibri" w:eastAsia="Times New Roman" w:hAnsi="Calibri" w:cs="Calibri"/>
                <w:b/>
                <w:bCs/>
                <w:color w:val="000000"/>
                <w:sz w:val="22"/>
                <w:lang w:val="en-ID" w:eastAsia="en-ID"/>
              </w:rPr>
              <w:t xml:space="preserve"> </w:t>
            </w:r>
          </w:p>
        </w:tc>
        <w:tc>
          <w:tcPr>
            <w:tcW w:w="1020" w:type="dxa"/>
            <w:tcBorders>
              <w:top w:val="single" w:sz="4" w:space="0" w:color="auto"/>
              <w:left w:val="nil"/>
              <w:bottom w:val="single" w:sz="4" w:space="0" w:color="auto"/>
              <w:right w:val="single" w:sz="4" w:space="0" w:color="auto"/>
            </w:tcBorders>
            <w:shd w:val="clear" w:color="000000" w:fill="FFFF00"/>
            <w:noWrap/>
            <w:vAlign w:val="bottom"/>
            <w:hideMark/>
          </w:tcPr>
          <w:p w14:paraId="29DFF6CA" w14:textId="77777777" w:rsidR="00434A3A" w:rsidRPr="00434A3A" w:rsidRDefault="00434A3A" w:rsidP="00434A3A">
            <w:pPr>
              <w:spacing w:after="0"/>
              <w:jc w:val="center"/>
              <w:rPr>
                <w:rFonts w:ascii="Calibri" w:eastAsia="Times New Roman" w:hAnsi="Calibri" w:cs="Calibri"/>
                <w:b/>
                <w:bCs/>
                <w:color w:val="000000"/>
                <w:sz w:val="22"/>
                <w:lang w:val="en-ID" w:eastAsia="en-ID"/>
              </w:rPr>
            </w:pPr>
            <w:r w:rsidRPr="00434A3A">
              <w:rPr>
                <w:rFonts w:ascii="Calibri" w:eastAsia="Times New Roman" w:hAnsi="Calibri" w:cs="Calibri"/>
                <w:b/>
                <w:bCs/>
                <w:color w:val="000000"/>
                <w:sz w:val="22"/>
                <w:lang w:val="en-ID" w:eastAsia="en-ID"/>
              </w:rPr>
              <w:t>IPM</w:t>
            </w:r>
          </w:p>
        </w:tc>
      </w:tr>
      <w:tr w:rsidR="00434A3A" w:rsidRPr="00434A3A" w14:paraId="7318D41C"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1FB0D4D8"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ACEH</w:t>
            </w:r>
          </w:p>
        </w:tc>
        <w:tc>
          <w:tcPr>
            <w:tcW w:w="1720" w:type="dxa"/>
            <w:tcBorders>
              <w:top w:val="nil"/>
              <w:left w:val="nil"/>
              <w:bottom w:val="single" w:sz="4" w:space="0" w:color="auto"/>
              <w:right w:val="single" w:sz="4" w:space="0" w:color="auto"/>
            </w:tcBorders>
            <w:noWrap/>
            <w:vAlign w:val="bottom"/>
            <w:hideMark/>
          </w:tcPr>
          <w:p w14:paraId="5DE225C1"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74,03</w:t>
            </w:r>
          </w:p>
        </w:tc>
        <w:tc>
          <w:tcPr>
            <w:tcW w:w="2740" w:type="dxa"/>
            <w:tcBorders>
              <w:top w:val="nil"/>
              <w:left w:val="nil"/>
              <w:bottom w:val="single" w:sz="4" w:space="0" w:color="auto"/>
              <w:right w:val="single" w:sz="4" w:space="0" w:color="auto"/>
            </w:tcBorders>
            <w:noWrap/>
            <w:vAlign w:val="bottom"/>
            <w:hideMark/>
          </w:tcPr>
          <w:p w14:paraId="47CF3B4C"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KALIMANTAN BARAT</w:t>
            </w:r>
          </w:p>
        </w:tc>
        <w:tc>
          <w:tcPr>
            <w:tcW w:w="1020" w:type="dxa"/>
            <w:tcBorders>
              <w:top w:val="nil"/>
              <w:left w:val="nil"/>
              <w:bottom w:val="single" w:sz="4" w:space="0" w:color="auto"/>
              <w:right w:val="single" w:sz="4" w:space="0" w:color="auto"/>
            </w:tcBorders>
            <w:noWrap/>
            <w:vAlign w:val="bottom"/>
            <w:hideMark/>
          </w:tcPr>
          <w:p w14:paraId="7422B8CF"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70,13</w:t>
            </w:r>
          </w:p>
        </w:tc>
      </w:tr>
      <w:tr w:rsidR="00434A3A" w:rsidRPr="00434A3A" w14:paraId="495F5088"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1A8E1A34"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SUMATERA UTARA</w:t>
            </w:r>
          </w:p>
        </w:tc>
        <w:tc>
          <w:tcPr>
            <w:tcW w:w="1720" w:type="dxa"/>
            <w:tcBorders>
              <w:top w:val="nil"/>
              <w:left w:val="nil"/>
              <w:bottom w:val="single" w:sz="4" w:space="0" w:color="auto"/>
              <w:right w:val="single" w:sz="4" w:space="0" w:color="auto"/>
            </w:tcBorders>
            <w:noWrap/>
            <w:vAlign w:val="bottom"/>
            <w:hideMark/>
          </w:tcPr>
          <w:p w14:paraId="5890033F"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74,02</w:t>
            </w:r>
          </w:p>
        </w:tc>
        <w:tc>
          <w:tcPr>
            <w:tcW w:w="2740" w:type="dxa"/>
            <w:tcBorders>
              <w:top w:val="nil"/>
              <w:left w:val="nil"/>
              <w:bottom w:val="single" w:sz="4" w:space="0" w:color="auto"/>
              <w:right w:val="single" w:sz="4" w:space="0" w:color="auto"/>
            </w:tcBorders>
            <w:noWrap/>
            <w:vAlign w:val="bottom"/>
            <w:hideMark/>
          </w:tcPr>
          <w:p w14:paraId="27D9773B"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KALIMANTAN TENGAH</w:t>
            </w:r>
          </w:p>
        </w:tc>
        <w:tc>
          <w:tcPr>
            <w:tcW w:w="1020" w:type="dxa"/>
            <w:tcBorders>
              <w:top w:val="nil"/>
              <w:left w:val="nil"/>
              <w:bottom w:val="single" w:sz="4" w:space="0" w:color="auto"/>
              <w:right w:val="single" w:sz="4" w:space="0" w:color="auto"/>
            </w:tcBorders>
            <w:noWrap/>
            <w:vAlign w:val="bottom"/>
            <w:hideMark/>
          </w:tcPr>
          <w:p w14:paraId="5CBFE920"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72,73</w:t>
            </w:r>
          </w:p>
        </w:tc>
      </w:tr>
      <w:tr w:rsidR="00434A3A" w:rsidRPr="00434A3A" w14:paraId="01807499"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68A15E6D"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SUMATERA BARAT</w:t>
            </w:r>
          </w:p>
        </w:tc>
        <w:tc>
          <w:tcPr>
            <w:tcW w:w="1720" w:type="dxa"/>
            <w:tcBorders>
              <w:top w:val="nil"/>
              <w:left w:val="nil"/>
              <w:bottom w:val="single" w:sz="4" w:space="0" w:color="auto"/>
              <w:right w:val="single" w:sz="4" w:space="0" w:color="auto"/>
            </w:tcBorders>
            <w:noWrap/>
            <w:vAlign w:val="bottom"/>
            <w:hideMark/>
          </w:tcPr>
          <w:p w14:paraId="11B06074"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74,49</w:t>
            </w:r>
          </w:p>
        </w:tc>
        <w:tc>
          <w:tcPr>
            <w:tcW w:w="2740" w:type="dxa"/>
            <w:tcBorders>
              <w:top w:val="nil"/>
              <w:left w:val="nil"/>
              <w:bottom w:val="single" w:sz="4" w:space="0" w:color="auto"/>
              <w:right w:val="single" w:sz="4" w:space="0" w:color="auto"/>
            </w:tcBorders>
            <w:noWrap/>
            <w:vAlign w:val="bottom"/>
            <w:hideMark/>
          </w:tcPr>
          <w:p w14:paraId="36710859"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KALIMANTAN SELATAN</w:t>
            </w:r>
          </w:p>
        </w:tc>
        <w:tc>
          <w:tcPr>
            <w:tcW w:w="1020" w:type="dxa"/>
            <w:tcBorders>
              <w:top w:val="nil"/>
              <w:left w:val="nil"/>
              <w:bottom w:val="single" w:sz="4" w:space="0" w:color="auto"/>
              <w:right w:val="single" w:sz="4" w:space="0" w:color="auto"/>
            </w:tcBorders>
            <w:noWrap/>
            <w:vAlign w:val="bottom"/>
            <w:hideMark/>
          </w:tcPr>
          <w:p w14:paraId="295A1FBE"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73,03</w:t>
            </w:r>
          </w:p>
        </w:tc>
      </w:tr>
      <w:tr w:rsidR="00434A3A" w:rsidRPr="00434A3A" w14:paraId="7F643D69"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3805CA61"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RIAU</w:t>
            </w:r>
          </w:p>
        </w:tc>
        <w:tc>
          <w:tcPr>
            <w:tcW w:w="1720" w:type="dxa"/>
            <w:tcBorders>
              <w:top w:val="nil"/>
              <w:left w:val="nil"/>
              <w:bottom w:val="single" w:sz="4" w:space="0" w:color="auto"/>
              <w:right w:val="single" w:sz="4" w:space="0" w:color="auto"/>
            </w:tcBorders>
            <w:noWrap/>
            <w:vAlign w:val="bottom"/>
            <w:hideMark/>
          </w:tcPr>
          <w:p w14:paraId="5131B8F0"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74,79</w:t>
            </w:r>
          </w:p>
        </w:tc>
        <w:tc>
          <w:tcPr>
            <w:tcW w:w="2740" w:type="dxa"/>
            <w:tcBorders>
              <w:top w:val="nil"/>
              <w:left w:val="nil"/>
              <w:bottom w:val="single" w:sz="4" w:space="0" w:color="auto"/>
              <w:right w:val="single" w:sz="4" w:space="0" w:color="auto"/>
            </w:tcBorders>
            <w:noWrap/>
            <w:vAlign w:val="bottom"/>
            <w:hideMark/>
          </w:tcPr>
          <w:p w14:paraId="7B90C259"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KALIMANTAN TIMUR</w:t>
            </w:r>
          </w:p>
        </w:tc>
        <w:tc>
          <w:tcPr>
            <w:tcW w:w="1020" w:type="dxa"/>
            <w:tcBorders>
              <w:top w:val="nil"/>
              <w:left w:val="nil"/>
              <w:bottom w:val="single" w:sz="4" w:space="0" w:color="auto"/>
              <w:right w:val="single" w:sz="4" w:space="0" w:color="auto"/>
            </w:tcBorders>
            <w:noWrap/>
            <w:vAlign w:val="bottom"/>
            <w:hideMark/>
          </w:tcPr>
          <w:p w14:paraId="7B7CD780"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78,83</w:t>
            </w:r>
          </w:p>
        </w:tc>
      </w:tr>
      <w:tr w:rsidR="00434A3A" w:rsidRPr="00434A3A" w14:paraId="6816AB8F"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4394E559"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JAMBI</w:t>
            </w:r>
          </w:p>
        </w:tc>
        <w:tc>
          <w:tcPr>
            <w:tcW w:w="1720" w:type="dxa"/>
            <w:tcBorders>
              <w:top w:val="nil"/>
              <w:left w:val="nil"/>
              <w:bottom w:val="single" w:sz="4" w:space="0" w:color="auto"/>
              <w:right w:val="single" w:sz="4" w:space="0" w:color="auto"/>
            </w:tcBorders>
            <w:noWrap/>
            <w:vAlign w:val="bottom"/>
            <w:hideMark/>
          </w:tcPr>
          <w:p w14:paraId="422F5914"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73,43</w:t>
            </w:r>
          </w:p>
        </w:tc>
        <w:tc>
          <w:tcPr>
            <w:tcW w:w="2740" w:type="dxa"/>
            <w:tcBorders>
              <w:top w:val="nil"/>
              <w:left w:val="nil"/>
              <w:bottom w:val="single" w:sz="4" w:space="0" w:color="auto"/>
              <w:right w:val="single" w:sz="4" w:space="0" w:color="auto"/>
            </w:tcBorders>
            <w:noWrap/>
            <w:vAlign w:val="bottom"/>
            <w:hideMark/>
          </w:tcPr>
          <w:p w14:paraId="2D7934A0"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KALIMANTAN UTARA</w:t>
            </w:r>
          </w:p>
        </w:tc>
        <w:tc>
          <w:tcPr>
            <w:tcW w:w="1020" w:type="dxa"/>
            <w:tcBorders>
              <w:top w:val="nil"/>
              <w:left w:val="nil"/>
              <w:bottom w:val="single" w:sz="4" w:space="0" w:color="auto"/>
              <w:right w:val="single" w:sz="4" w:space="0" w:color="auto"/>
            </w:tcBorders>
            <w:noWrap/>
            <w:vAlign w:val="bottom"/>
            <w:hideMark/>
          </w:tcPr>
          <w:p w14:paraId="1DE4A83B"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73,02</w:t>
            </w:r>
          </w:p>
        </w:tc>
      </w:tr>
      <w:tr w:rsidR="00434A3A" w:rsidRPr="00434A3A" w14:paraId="5CEF0EEE"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48C07BC5"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SUMATERA SELATAN</w:t>
            </w:r>
          </w:p>
        </w:tc>
        <w:tc>
          <w:tcPr>
            <w:tcW w:w="1720" w:type="dxa"/>
            <w:tcBorders>
              <w:top w:val="nil"/>
              <w:left w:val="nil"/>
              <w:bottom w:val="single" w:sz="4" w:space="0" w:color="auto"/>
              <w:right w:val="single" w:sz="4" w:space="0" w:color="auto"/>
            </w:tcBorders>
            <w:noWrap/>
            <w:vAlign w:val="bottom"/>
            <w:hideMark/>
          </w:tcPr>
          <w:p w14:paraId="1B5900D9"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72,3</w:t>
            </w:r>
          </w:p>
        </w:tc>
        <w:tc>
          <w:tcPr>
            <w:tcW w:w="2740" w:type="dxa"/>
            <w:tcBorders>
              <w:top w:val="nil"/>
              <w:left w:val="nil"/>
              <w:bottom w:val="single" w:sz="4" w:space="0" w:color="auto"/>
              <w:right w:val="single" w:sz="4" w:space="0" w:color="auto"/>
            </w:tcBorders>
            <w:noWrap/>
            <w:vAlign w:val="bottom"/>
            <w:hideMark/>
          </w:tcPr>
          <w:p w14:paraId="408234DD"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SULAWESI UTARA</w:t>
            </w:r>
          </w:p>
        </w:tc>
        <w:tc>
          <w:tcPr>
            <w:tcW w:w="1020" w:type="dxa"/>
            <w:tcBorders>
              <w:top w:val="nil"/>
              <w:left w:val="nil"/>
              <w:bottom w:val="single" w:sz="4" w:space="0" w:color="auto"/>
              <w:right w:val="single" w:sz="4" w:space="0" w:color="auto"/>
            </w:tcBorders>
            <w:noWrap/>
            <w:vAlign w:val="bottom"/>
            <w:hideMark/>
          </w:tcPr>
          <w:p w14:paraId="5E32C652"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75,03</w:t>
            </w:r>
          </w:p>
        </w:tc>
      </w:tr>
      <w:tr w:rsidR="00434A3A" w:rsidRPr="00434A3A" w14:paraId="25AE1A6D"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5A1CA3D1"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lastRenderedPageBreak/>
              <w:t>BENGKULU</w:t>
            </w:r>
          </w:p>
        </w:tc>
        <w:tc>
          <w:tcPr>
            <w:tcW w:w="1720" w:type="dxa"/>
            <w:tcBorders>
              <w:top w:val="nil"/>
              <w:left w:val="nil"/>
              <w:bottom w:val="single" w:sz="4" w:space="0" w:color="auto"/>
              <w:right w:val="single" w:sz="4" w:space="0" w:color="auto"/>
            </w:tcBorders>
            <w:noWrap/>
            <w:vAlign w:val="bottom"/>
            <w:hideMark/>
          </w:tcPr>
          <w:p w14:paraId="17C55D39"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73,39</w:t>
            </w:r>
          </w:p>
        </w:tc>
        <w:tc>
          <w:tcPr>
            <w:tcW w:w="2740" w:type="dxa"/>
            <w:tcBorders>
              <w:top w:val="nil"/>
              <w:left w:val="nil"/>
              <w:bottom w:val="single" w:sz="4" w:space="0" w:color="auto"/>
              <w:right w:val="single" w:sz="4" w:space="0" w:color="auto"/>
            </w:tcBorders>
            <w:noWrap/>
            <w:vAlign w:val="bottom"/>
            <w:hideMark/>
          </w:tcPr>
          <w:p w14:paraId="09961473"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SULAWESI TENGAH</w:t>
            </w:r>
          </w:p>
        </w:tc>
        <w:tc>
          <w:tcPr>
            <w:tcW w:w="1020" w:type="dxa"/>
            <w:tcBorders>
              <w:top w:val="nil"/>
              <w:left w:val="nil"/>
              <w:bottom w:val="single" w:sz="4" w:space="0" w:color="auto"/>
              <w:right w:val="single" w:sz="4" w:space="0" w:color="auto"/>
            </w:tcBorders>
            <w:noWrap/>
            <w:vAlign w:val="bottom"/>
            <w:hideMark/>
          </w:tcPr>
          <w:p w14:paraId="5D9B30DB"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71,56</w:t>
            </w:r>
          </w:p>
        </w:tc>
      </w:tr>
      <w:tr w:rsidR="00434A3A" w:rsidRPr="00434A3A" w14:paraId="73CCD4A6"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23388B69"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LAMPUNG</w:t>
            </w:r>
          </w:p>
        </w:tc>
        <w:tc>
          <w:tcPr>
            <w:tcW w:w="1720" w:type="dxa"/>
            <w:tcBorders>
              <w:top w:val="nil"/>
              <w:left w:val="nil"/>
              <w:bottom w:val="single" w:sz="4" w:space="0" w:color="auto"/>
              <w:right w:val="single" w:sz="4" w:space="0" w:color="auto"/>
            </w:tcBorders>
            <w:noWrap/>
            <w:vAlign w:val="bottom"/>
            <w:hideMark/>
          </w:tcPr>
          <w:p w14:paraId="4B48FD61"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71,81</w:t>
            </w:r>
          </w:p>
        </w:tc>
        <w:tc>
          <w:tcPr>
            <w:tcW w:w="2740" w:type="dxa"/>
            <w:tcBorders>
              <w:top w:val="nil"/>
              <w:left w:val="nil"/>
              <w:bottom w:val="single" w:sz="4" w:space="0" w:color="auto"/>
              <w:right w:val="single" w:sz="4" w:space="0" w:color="auto"/>
            </w:tcBorders>
            <w:noWrap/>
            <w:vAlign w:val="bottom"/>
            <w:hideMark/>
          </w:tcPr>
          <w:p w14:paraId="4A2D61F5"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SULAWESI SELATAN</w:t>
            </w:r>
          </w:p>
        </w:tc>
        <w:tc>
          <w:tcPr>
            <w:tcW w:w="1020" w:type="dxa"/>
            <w:tcBorders>
              <w:top w:val="nil"/>
              <w:left w:val="nil"/>
              <w:bottom w:val="single" w:sz="4" w:space="0" w:color="auto"/>
              <w:right w:val="single" w:sz="4" w:space="0" w:color="auto"/>
            </w:tcBorders>
            <w:noWrap/>
            <w:vAlign w:val="bottom"/>
            <w:hideMark/>
          </w:tcPr>
          <w:p w14:paraId="4A13C72D"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74,05</w:t>
            </w:r>
          </w:p>
        </w:tc>
      </w:tr>
      <w:tr w:rsidR="00434A3A" w:rsidRPr="00434A3A" w14:paraId="4602D498"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1406D334"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KEP. BANGKA BELITUNG</w:t>
            </w:r>
          </w:p>
        </w:tc>
        <w:tc>
          <w:tcPr>
            <w:tcW w:w="1720" w:type="dxa"/>
            <w:tcBorders>
              <w:top w:val="nil"/>
              <w:left w:val="nil"/>
              <w:bottom w:val="single" w:sz="4" w:space="0" w:color="auto"/>
              <w:right w:val="single" w:sz="4" w:space="0" w:color="auto"/>
            </w:tcBorders>
            <w:noWrap/>
            <w:vAlign w:val="bottom"/>
            <w:hideMark/>
          </w:tcPr>
          <w:p w14:paraId="64E11EC5"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73,33</w:t>
            </w:r>
          </w:p>
        </w:tc>
        <w:tc>
          <w:tcPr>
            <w:tcW w:w="2740" w:type="dxa"/>
            <w:tcBorders>
              <w:top w:val="nil"/>
              <w:left w:val="nil"/>
              <w:bottom w:val="single" w:sz="4" w:space="0" w:color="auto"/>
              <w:right w:val="single" w:sz="4" w:space="0" w:color="auto"/>
            </w:tcBorders>
            <w:noWrap/>
            <w:vAlign w:val="bottom"/>
            <w:hideMark/>
          </w:tcPr>
          <w:p w14:paraId="2B666434"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SULAWESI TENGGARA</w:t>
            </w:r>
          </w:p>
        </w:tc>
        <w:tc>
          <w:tcPr>
            <w:tcW w:w="1020" w:type="dxa"/>
            <w:tcBorders>
              <w:top w:val="nil"/>
              <w:left w:val="nil"/>
              <w:bottom w:val="single" w:sz="4" w:space="0" w:color="auto"/>
              <w:right w:val="single" w:sz="4" w:space="0" w:color="auto"/>
            </w:tcBorders>
            <w:noWrap/>
            <w:vAlign w:val="bottom"/>
            <w:hideMark/>
          </w:tcPr>
          <w:p w14:paraId="121EE34E"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73,48</w:t>
            </w:r>
          </w:p>
        </w:tc>
      </w:tr>
      <w:tr w:rsidR="00434A3A" w:rsidRPr="00434A3A" w14:paraId="33794A10"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75A299F7"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KEP. RIAU</w:t>
            </w:r>
          </w:p>
        </w:tc>
        <w:tc>
          <w:tcPr>
            <w:tcW w:w="1720" w:type="dxa"/>
            <w:tcBorders>
              <w:top w:val="nil"/>
              <w:left w:val="nil"/>
              <w:bottom w:val="single" w:sz="4" w:space="0" w:color="auto"/>
              <w:right w:val="single" w:sz="4" w:space="0" w:color="auto"/>
            </w:tcBorders>
            <w:noWrap/>
            <w:vAlign w:val="bottom"/>
            <w:hideMark/>
          </w:tcPr>
          <w:p w14:paraId="79F99542"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77,97</w:t>
            </w:r>
          </w:p>
        </w:tc>
        <w:tc>
          <w:tcPr>
            <w:tcW w:w="2740" w:type="dxa"/>
            <w:tcBorders>
              <w:top w:val="nil"/>
              <w:left w:val="nil"/>
              <w:bottom w:val="single" w:sz="4" w:space="0" w:color="auto"/>
              <w:right w:val="single" w:sz="4" w:space="0" w:color="auto"/>
            </w:tcBorders>
            <w:noWrap/>
            <w:vAlign w:val="bottom"/>
            <w:hideMark/>
          </w:tcPr>
          <w:p w14:paraId="76E000FB"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GORONTALO</w:t>
            </w:r>
          </w:p>
        </w:tc>
        <w:tc>
          <w:tcPr>
            <w:tcW w:w="1020" w:type="dxa"/>
            <w:tcBorders>
              <w:top w:val="nil"/>
              <w:left w:val="nil"/>
              <w:bottom w:val="single" w:sz="4" w:space="0" w:color="auto"/>
              <w:right w:val="single" w:sz="4" w:space="0" w:color="auto"/>
            </w:tcBorders>
            <w:noWrap/>
            <w:vAlign w:val="bottom"/>
            <w:hideMark/>
          </w:tcPr>
          <w:p w14:paraId="0A928EB4"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71,23</w:t>
            </w:r>
          </w:p>
        </w:tc>
      </w:tr>
      <w:tr w:rsidR="00434A3A" w:rsidRPr="00434A3A" w14:paraId="08F6FB8D"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4F1B03E8"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DKI JAKARTA</w:t>
            </w:r>
          </w:p>
        </w:tc>
        <w:tc>
          <w:tcPr>
            <w:tcW w:w="1720" w:type="dxa"/>
            <w:tcBorders>
              <w:top w:val="nil"/>
              <w:left w:val="nil"/>
              <w:bottom w:val="single" w:sz="4" w:space="0" w:color="auto"/>
              <w:right w:val="single" w:sz="4" w:space="0" w:color="auto"/>
            </w:tcBorders>
            <w:noWrap/>
            <w:vAlign w:val="bottom"/>
            <w:hideMark/>
          </w:tcPr>
          <w:p w14:paraId="5A71A8AE"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83,08</w:t>
            </w:r>
          </w:p>
        </w:tc>
        <w:tc>
          <w:tcPr>
            <w:tcW w:w="2740" w:type="dxa"/>
            <w:tcBorders>
              <w:top w:val="nil"/>
              <w:left w:val="nil"/>
              <w:bottom w:val="single" w:sz="4" w:space="0" w:color="auto"/>
              <w:right w:val="single" w:sz="4" w:space="0" w:color="auto"/>
            </w:tcBorders>
            <w:noWrap/>
            <w:vAlign w:val="bottom"/>
            <w:hideMark/>
          </w:tcPr>
          <w:p w14:paraId="55610D67"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SULAWESI BARAT</w:t>
            </w:r>
          </w:p>
        </w:tc>
        <w:tc>
          <w:tcPr>
            <w:tcW w:w="1020" w:type="dxa"/>
            <w:tcBorders>
              <w:top w:val="nil"/>
              <w:left w:val="nil"/>
              <w:bottom w:val="single" w:sz="4" w:space="0" w:color="auto"/>
              <w:right w:val="single" w:sz="4" w:space="0" w:color="auto"/>
            </w:tcBorders>
            <w:noWrap/>
            <w:vAlign w:val="bottom"/>
            <w:hideMark/>
          </w:tcPr>
          <w:p w14:paraId="074BFB5E"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68,2</w:t>
            </w:r>
          </w:p>
        </w:tc>
      </w:tr>
      <w:tr w:rsidR="00434A3A" w:rsidRPr="00434A3A" w14:paraId="2CE9D27B"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061CFEC2"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JAWA BARAT</w:t>
            </w:r>
          </w:p>
        </w:tc>
        <w:tc>
          <w:tcPr>
            <w:tcW w:w="1720" w:type="dxa"/>
            <w:tcBorders>
              <w:top w:val="nil"/>
              <w:left w:val="nil"/>
              <w:bottom w:val="single" w:sz="4" w:space="0" w:color="auto"/>
              <w:right w:val="single" w:sz="4" w:space="0" w:color="auto"/>
            </w:tcBorders>
            <w:noWrap/>
            <w:vAlign w:val="bottom"/>
            <w:hideMark/>
          </w:tcPr>
          <w:p w14:paraId="2166043D"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74,43</w:t>
            </w:r>
          </w:p>
        </w:tc>
        <w:tc>
          <w:tcPr>
            <w:tcW w:w="2740" w:type="dxa"/>
            <w:tcBorders>
              <w:top w:val="nil"/>
              <w:left w:val="nil"/>
              <w:bottom w:val="single" w:sz="4" w:space="0" w:color="auto"/>
              <w:right w:val="single" w:sz="4" w:space="0" w:color="auto"/>
            </w:tcBorders>
            <w:noWrap/>
            <w:vAlign w:val="bottom"/>
            <w:hideMark/>
          </w:tcPr>
          <w:p w14:paraId="61BD4EA2"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MALUKU</w:t>
            </w:r>
          </w:p>
        </w:tc>
        <w:tc>
          <w:tcPr>
            <w:tcW w:w="1020" w:type="dxa"/>
            <w:tcBorders>
              <w:top w:val="nil"/>
              <w:left w:val="nil"/>
              <w:bottom w:val="single" w:sz="4" w:space="0" w:color="auto"/>
              <w:right w:val="single" w:sz="4" w:space="0" w:color="auto"/>
            </w:tcBorders>
            <w:noWrap/>
            <w:vAlign w:val="bottom"/>
            <w:hideMark/>
          </w:tcPr>
          <w:p w14:paraId="367E78B7"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71,57</w:t>
            </w:r>
          </w:p>
        </w:tc>
      </w:tr>
      <w:tr w:rsidR="00434A3A" w:rsidRPr="00434A3A" w14:paraId="6FC1B3C6"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213C95E6"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JAWA TENGAH</w:t>
            </w:r>
          </w:p>
        </w:tc>
        <w:tc>
          <w:tcPr>
            <w:tcW w:w="1720" w:type="dxa"/>
            <w:tcBorders>
              <w:top w:val="nil"/>
              <w:left w:val="nil"/>
              <w:bottom w:val="single" w:sz="4" w:space="0" w:color="auto"/>
              <w:right w:val="single" w:sz="4" w:space="0" w:color="auto"/>
            </w:tcBorders>
            <w:noWrap/>
            <w:vAlign w:val="bottom"/>
            <w:hideMark/>
          </w:tcPr>
          <w:p w14:paraId="2C4F4A89"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73,88</w:t>
            </w:r>
          </w:p>
        </w:tc>
        <w:tc>
          <w:tcPr>
            <w:tcW w:w="2740" w:type="dxa"/>
            <w:tcBorders>
              <w:top w:val="nil"/>
              <w:left w:val="nil"/>
              <w:bottom w:val="single" w:sz="4" w:space="0" w:color="auto"/>
              <w:right w:val="single" w:sz="4" w:space="0" w:color="auto"/>
            </w:tcBorders>
            <w:noWrap/>
            <w:vAlign w:val="bottom"/>
            <w:hideMark/>
          </w:tcPr>
          <w:p w14:paraId="78EB2329"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MALUKU UTARA</w:t>
            </w:r>
          </w:p>
        </w:tc>
        <w:tc>
          <w:tcPr>
            <w:tcW w:w="1020" w:type="dxa"/>
            <w:tcBorders>
              <w:top w:val="nil"/>
              <w:left w:val="nil"/>
              <w:bottom w:val="single" w:sz="4" w:space="0" w:color="auto"/>
              <w:right w:val="single" w:sz="4" w:space="0" w:color="auto"/>
            </w:tcBorders>
            <w:noWrap/>
            <w:vAlign w:val="bottom"/>
            <w:hideMark/>
          </w:tcPr>
          <w:p w14:paraId="6FB0E157"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71,03</w:t>
            </w:r>
          </w:p>
        </w:tc>
      </w:tr>
      <w:tr w:rsidR="00434A3A" w:rsidRPr="00434A3A" w14:paraId="743035DD"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751AA5CB"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DI YOGYAKARTA</w:t>
            </w:r>
          </w:p>
        </w:tc>
        <w:tc>
          <w:tcPr>
            <w:tcW w:w="1720" w:type="dxa"/>
            <w:tcBorders>
              <w:top w:val="nil"/>
              <w:left w:val="nil"/>
              <w:bottom w:val="single" w:sz="4" w:space="0" w:color="auto"/>
              <w:right w:val="single" w:sz="4" w:space="0" w:color="auto"/>
            </w:tcBorders>
            <w:noWrap/>
            <w:vAlign w:val="bottom"/>
            <w:hideMark/>
          </w:tcPr>
          <w:p w14:paraId="1A57481F"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81,55</w:t>
            </w:r>
          </w:p>
        </w:tc>
        <w:tc>
          <w:tcPr>
            <w:tcW w:w="2740" w:type="dxa"/>
            <w:tcBorders>
              <w:top w:val="nil"/>
              <w:left w:val="nil"/>
              <w:bottom w:val="single" w:sz="4" w:space="0" w:color="auto"/>
              <w:right w:val="single" w:sz="4" w:space="0" w:color="auto"/>
            </w:tcBorders>
            <w:noWrap/>
            <w:vAlign w:val="bottom"/>
            <w:hideMark/>
          </w:tcPr>
          <w:p w14:paraId="21768BFB"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PAPUA BARAT</w:t>
            </w:r>
          </w:p>
        </w:tc>
        <w:tc>
          <w:tcPr>
            <w:tcW w:w="1020" w:type="dxa"/>
            <w:tcBorders>
              <w:top w:val="nil"/>
              <w:left w:val="nil"/>
              <w:bottom w:val="single" w:sz="4" w:space="0" w:color="auto"/>
              <w:right w:val="single" w:sz="4" w:space="0" w:color="auto"/>
            </w:tcBorders>
            <w:noWrap/>
            <w:vAlign w:val="bottom"/>
            <w:hideMark/>
          </w:tcPr>
          <w:p w14:paraId="5BE4D0EF"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67,02</w:t>
            </w:r>
          </w:p>
        </w:tc>
      </w:tr>
      <w:tr w:rsidR="00434A3A" w:rsidRPr="00434A3A" w14:paraId="3DF16CAC"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788F65B4"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JAWA TIMUR</w:t>
            </w:r>
          </w:p>
        </w:tc>
        <w:tc>
          <w:tcPr>
            <w:tcW w:w="1720" w:type="dxa"/>
            <w:tcBorders>
              <w:top w:val="nil"/>
              <w:left w:val="nil"/>
              <w:bottom w:val="single" w:sz="4" w:space="0" w:color="auto"/>
              <w:right w:val="single" w:sz="4" w:space="0" w:color="auto"/>
            </w:tcBorders>
            <w:noWrap/>
            <w:vAlign w:val="bottom"/>
            <w:hideMark/>
          </w:tcPr>
          <w:p w14:paraId="303DA580"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74,09</w:t>
            </w:r>
          </w:p>
        </w:tc>
        <w:tc>
          <w:tcPr>
            <w:tcW w:w="2740" w:type="dxa"/>
            <w:tcBorders>
              <w:top w:val="nil"/>
              <w:left w:val="nil"/>
              <w:bottom w:val="single" w:sz="4" w:space="0" w:color="auto"/>
              <w:right w:val="single" w:sz="4" w:space="0" w:color="auto"/>
            </w:tcBorders>
            <w:noWrap/>
            <w:vAlign w:val="bottom"/>
            <w:hideMark/>
          </w:tcPr>
          <w:p w14:paraId="4802E3C2"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PAPUA BARAT DAYA</w:t>
            </w:r>
          </w:p>
        </w:tc>
        <w:tc>
          <w:tcPr>
            <w:tcW w:w="1020" w:type="dxa"/>
            <w:tcBorders>
              <w:top w:val="nil"/>
              <w:left w:val="nil"/>
              <w:bottom w:val="single" w:sz="4" w:space="0" w:color="auto"/>
              <w:right w:val="single" w:sz="4" w:space="0" w:color="auto"/>
            </w:tcBorders>
            <w:noWrap/>
            <w:vAlign w:val="bottom"/>
            <w:hideMark/>
          </w:tcPr>
          <w:p w14:paraId="31E87586"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68,63</w:t>
            </w:r>
          </w:p>
        </w:tc>
      </w:tr>
      <w:tr w:rsidR="00434A3A" w:rsidRPr="00434A3A" w14:paraId="44445A94"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71E2D7E6"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BANTEN</w:t>
            </w:r>
          </w:p>
        </w:tc>
        <w:tc>
          <w:tcPr>
            <w:tcW w:w="1720" w:type="dxa"/>
            <w:tcBorders>
              <w:top w:val="nil"/>
              <w:left w:val="nil"/>
              <w:bottom w:val="single" w:sz="4" w:space="0" w:color="auto"/>
              <w:right w:val="single" w:sz="4" w:space="0" w:color="auto"/>
            </w:tcBorders>
            <w:noWrap/>
            <w:vAlign w:val="bottom"/>
            <w:hideMark/>
          </w:tcPr>
          <w:p w14:paraId="26819575"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74,48</w:t>
            </w:r>
          </w:p>
        </w:tc>
        <w:tc>
          <w:tcPr>
            <w:tcW w:w="2740" w:type="dxa"/>
            <w:tcBorders>
              <w:top w:val="nil"/>
              <w:left w:val="nil"/>
              <w:bottom w:val="single" w:sz="4" w:space="0" w:color="auto"/>
              <w:right w:val="single" w:sz="4" w:space="0" w:color="auto"/>
            </w:tcBorders>
            <w:noWrap/>
            <w:vAlign w:val="bottom"/>
            <w:hideMark/>
          </w:tcPr>
          <w:p w14:paraId="544F6991"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PAPUA</w:t>
            </w:r>
          </w:p>
        </w:tc>
        <w:tc>
          <w:tcPr>
            <w:tcW w:w="1020" w:type="dxa"/>
            <w:tcBorders>
              <w:top w:val="nil"/>
              <w:left w:val="nil"/>
              <w:bottom w:val="single" w:sz="4" w:space="0" w:color="auto"/>
              <w:right w:val="single" w:sz="4" w:space="0" w:color="auto"/>
            </w:tcBorders>
            <w:noWrap/>
            <w:vAlign w:val="bottom"/>
            <w:hideMark/>
          </w:tcPr>
          <w:p w14:paraId="0591C522"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73</w:t>
            </w:r>
          </w:p>
        </w:tc>
      </w:tr>
      <w:tr w:rsidR="00434A3A" w:rsidRPr="00434A3A" w14:paraId="34EDBE14"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0D53C692"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BALI</w:t>
            </w:r>
          </w:p>
        </w:tc>
        <w:tc>
          <w:tcPr>
            <w:tcW w:w="1720" w:type="dxa"/>
            <w:tcBorders>
              <w:top w:val="nil"/>
              <w:left w:val="nil"/>
              <w:bottom w:val="single" w:sz="4" w:space="0" w:color="auto"/>
              <w:right w:val="single" w:sz="4" w:space="0" w:color="auto"/>
            </w:tcBorders>
            <w:noWrap/>
            <w:vAlign w:val="bottom"/>
            <w:hideMark/>
          </w:tcPr>
          <w:p w14:paraId="61F58A9B"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77,76</w:t>
            </w:r>
          </w:p>
        </w:tc>
        <w:tc>
          <w:tcPr>
            <w:tcW w:w="2740" w:type="dxa"/>
            <w:tcBorders>
              <w:top w:val="nil"/>
              <w:left w:val="nil"/>
              <w:bottom w:val="single" w:sz="4" w:space="0" w:color="auto"/>
              <w:right w:val="single" w:sz="4" w:space="0" w:color="auto"/>
            </w:tcBorders>
            <w:noWrap/>
            <w:vAlign w:val="bottom"/>
            <w:hideMark/>
          </w:tcPr>
          <w:p w14:paraId="23D345A9"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PAPUA SELATAN</w:t>
            </w:r>
          </w:p>
        </w:tc>
        <w:tc>
          <w:tcPr>
            <w:tcW w:w="1020" w:type="dxa"/>
            <w:tcBorders>
              <w:top w:val="nil"/>
              <w:left w:val="nil"/>
              <w:bottom w:val="single" w:sz="4" w:space="0" w:color="auto"/>
              <w:right w:val="single" w:sz="4" w:space="0" w:color="auto"/>
            </w:tcBorders>
            <w:noWrap/>
            <w:vAlign w:val="bottom"/>
            <w:hideMark/>
          </w:tcPr>
          <w:p w14:paraId="7B2426B4"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67,9</w:t>
            </w:r>
          </w:p>
        </w:tc>
      </w:tr>
      <w:tr w:rsidR="00434A3A" w:rsidRPr="00434A3A" w14:paraId="52A62B9B"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1FA1D451"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NUSA TENGGARA BARAT</w:t>
            </w:r>
          </w:p>
        </w:tc>
        <w:tc>
          <w:tcPr>
            <w:tcW w:w="1720" w:type="dxa"/>
            <w:tcBorders>
              <w:top w:val="nil"/>
              <w:left w:val="nil"/>
              <w:bottom w:val="single" w:sz="4" w:space="0" w:color="auto"/>
              <w:right w:val="single" w:sz="4" w:space="0" w:color="auto"/>
            </w:tcBorders>
            <w:noWrap/>
            <w:vAlign w:val="bottom"/>
            <w:hideMark/>
          </w:tcPr>
          <w:p w14:paraId="1E5AF31B"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70,93</w:t>
            </w:r>
          </w:p>
        </w:tc>
        <w:tc>
          <w:tcPr>
            <w:tcW w:w="2740" w:type="dxa"/>
            <w:tcBorders>
              <w:top w:val="nil"/>
              <w:left w:val="nil"/>
              <w:bottom w:val="single" w:sz="4" w:space="0" w:color="auto"/>
              <w:right w:val="single" w:sz="4" w:space="0" w:color="auto"/>
            </w:tcBorders>
            <w:noWrap/>
            <w:vAlign w:val="bottom"/>
            <w:hideMark/>
          </w:tcPr>
          <w:p w14:paraId="222D17D2"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PAPUA TENGAH</w:t>
            </w:r>
          </w:p>
        </w:tc>
        <w:tc>
          <w:tcPr>
            <w:tcW w:w="1020" w:type="dxa"/>
            <w:tcBorders>
              <w:top w:val="nil"/>
              <w:left w:val="nil"/>
              <w:bottom w:val="single" w:sz="4" w:space="0" w:color="auto"/>
              <w:right w:val="single" w:sz="4" w:space="0" w:color="auto"/>
            </w:tcBorders>
            <w:noWrap/>
            <w:vAlign w:val="bottom"/>
            <w:hideMark/>
          </w:tcPr>
          <w:p w14:paraId="36F791EE"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59,75</w:t>
            </w:r>
          </w:p>
        </w:tc>
      </w:tr>
      <w:tr w:rsidR="00434A3A" w:rsidRPr="00434A3A" w14:paraId="7E664866" w14:textId="77777777" w:rsidTr="00434A3A">
        <w:trPr>
          <w:trHeight w:val="288"/>
        </w:trPr>
        <w:tc>
          <w:tcPr>
            <w:tcW w:w="2660" w:type="dxa"/>
            <w:tcBorders>
              <w:top w:val="nil"/>
              <w:left w:val="single" w:sz="4" w:space="0" w:color="auto"/>
              <w:bottom w:val="single" w:sz="4" w:space="0" w:color="auto"/>
              <w:right w:val="single" w:sz="4" w:space="0" w:color="auto"/>
            </w:tcBorders>
            <w:noWrap/>
            <w:vAlign w:val="bottom"/>
            <w:hideMark/>
          </w:tcPr>
          <w:p w14:paraId="4BE3B279"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NUSA TENGGARA TIMUR</w:t>
            </w:r>
          </w:p>
        </w:tc>
        <w:tc>
          <w:tcPr>
            <w:tcW w:w="1720" w:type="dxa"/>
            <w:tcBorders>
              <w:top w:val="nil"/>
              <w:left w:val="nil"/>
              <w:bottom w:val="single" w:sz="4" w:space="0" w:color="auto"/>
              <w:right w:val="single" w:sz="4" w:space="0" w:color="auto"/>
            </w:tcBorders>
            <w:noWrap/>
            <w:vAlign w:val="bottom"/>
            <w:hideMark/>
          </w:tcPr>
          <w:p w14:paraId="7942ABA3"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67,39</w:t>
            </w:r>
          </w:p>
        </w:tc>
        <w:tc>
          <w:tcPr>
            <w:tcW w:w="2740" w:type="dxa"/>
            <w:tcBorders>
              <w:top w:val="nil"/>
              <w:left w:val="nil"/>
              <w:bottom w:val="single" w:sz="4" w:space="0" w:color="auto"/>
              <w:right w:val="single" w:sz="4" w:space="0" w:color="auto"/>
            </w:tcBorders>
            <w:noWrap/>
            <w:vAlign w:val="bottom"/>
            <w:hideMark/>
          </w:tcPr>
          <w:p w14:paraId="0DBF8AB2" w14:textId="77777777" w:rsidR="00434A3A" w:rsidRPr="00434A3A" w:rsidRDefault="00434A3A" w:rsidP="00434A3A">
            <w:pPr>
              <w:spacing w:after="0"/>
              <w:jc w:val="lef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PAPUA PEGUNUNGAN</w:t>
            </w:r>
          </w:p>
        </w:tc>
        <w:tc>
          <w:tcPr>
            <w:tcW w:w="1020" w:type="dxa"/>
            <w:tcBorders>
              <w:top w:val="nil"/>
              <w:left w:val="nil"/>
              <w:bottom w:val="single" w:sz="4" w:space="0" w:color="auto"/>
              <w:right w:val="single" w:sz="4" w:space="0" w:color="auto"/>
            </w:tcBorders>
            <w:noWrap/>
            <w:vAlign w:val="bottom"/>
            <w:hideMark/>
          </w:tcPr>
          <w:p w14:paraId="08389985" w14:textId="77777777" w:rsidR="00434A3A" w:rsidRPr="00434A3A" w:rsidRDefault="00434A3A" w:rsidP="00434A3A">
            <w:pPr>
              <w:spacing w:after="0"/>
              <w:jc w:val="right"/>
              <w:rPr>
                <w:rFonts w:ascii="Calibri" w:eastAsia="Times New Roman" w:hAnsi="Calibri" w:cs="Calibri"/>
                <w:color w:val="000000"/>
                <w:sz w:val="22"/>
                <w:lang w:val="en-ID" w:eastAsia="en-ID"/>
              </w:rPr>
            </w:pPr>
            <w:r w:rsidRPr="00434A3A">
              <w:rPr>
                <w:rFonts w:ascii="Calibri" w:eastAsia="Times New Roman" w:hAnsi="Calibri" w:cs="Calibri"/>
                <w:color w:val="000000"/>
                <w:sz w:val="22"/>
                <w:lang w:val="en-ID" w:eastAsia="en-ID"/>
              </w:rPr>
              <w:t>53,42</w:t>
            </w:r>
          </w:p>
        </w:tc>
      </w:tr>
    </w:tbl>
    <w:p w14:paraId="3F0CA275" w14:textId="0BEBD233" w:rsidR="00445D2F" w:rsidRPr="00445D2F" w:rsidRDefault="00445D2F" w:rsidP="00090C24">
      <w:pPr>
        <w:spacing w:line="360" w:lineRule="auto"/>
        <w:rPr>
          <w:szCs w:val="20"/>
        </w:rPr>
      </w:pPr>
    </w:p>
    <w:p w14:paraId="62C125DD" w14:textId="77777777" w:rsidR="00445D2F" w:rsidRPr="00445D2F" w:rsidRDefault="00445D2F" w:rsidP="00445D2F">
      <w:pPr>
        <w:spacing w:after="200" w:line="360" w:lineRule="auto"/>
        <w:jc w:val="center"/>
        <w:rPr>
          <w:szCs w:val="20"/>
          <w:lang w:val="en-ID"/>
        </w:rPr>
      </w:pPr>
      <w:r w:rsidRPr="00445D2F">
        <w:rPr>
          <w:szCs w:val="20"/>
          <w:lang w:val="en"/>
        </w:rPr>
        <w:t>Source of data</w:t>
      </w:r>
      <w:r w:rsidRPr="00445D2F">
        <w:rPr>
          <w:szCs w:val="20"/>
        </w:rPr>
        <w:t>: Statistics Indonesia (BPS), 2024</w:t>
      </w:r>
    </w:p>
    <w:p w14:paraId="26D67471" w14:textId="77777777" w:rsidR="00445D2F" w:rsidRPr="00445D2F" w:rsidRDefault="00445D2F" w:rsidP="00445D2F">
      <w:pPr>
        <w:ind w:firstLine="720"/>
        <w:rPr>
          <w:szCs w:val="20"/>
        </w:rPr>
      </w:pPr>
      <w:r w:rsidRPr="00445D2F">
        <w:rPr>
          <w:szCs w:val="20"/>
        </w:rPr>
        <w:t>Table 1 shows that Indonesia's Human Development Index (HDI) in 2024 shows disparities between provinces. The highest Human Development Index score was achieved by SCR Jakarta Province, at 83.08, followed by the Special Region of Yogyakarta (81.55) and East Kalimantan (78.83). These three provinces are categorized as "very high," indicating relatively good quality of education, health, and living standards compared to other regions. Conversely, several provinces in eastern Indonesia still have relatively low Human Development Indexes, such as Mountainous Papua (53.42), Central Papua (59.75), and West Papua (67.02). This condition reflects the persistence of human development disparities between regions, particularly between the more developed western part of Indonesia and the eastern region, which still lags behind in terms of education and economic well-being. Furthermore, differences in Human Development Index (HDI) achievement are also influenced by the quality of infrastructure, access to education, and the distribution of health facilities, which differ across regions. Areas with better infrastructure support tend to have a higher Human Development Index (HDI), while remote areas face obstacles in improving the quality of life of their people.</w:t>
      </w:r>
    </w:p>
    <w:p w14:paraId="3A322C7D" w14:textId="77777777" w:rsidR="00445D2F" w:rsidRPr="00445D2F" w:rsidRDefault="00445D2F" w:rsidP="00445D2F">
      <w:pPr>
        <w:spacing w:line="360" w:lineRule="auto"/>
        <w:ind w:firstLine="720"/>
        <w:jc w:val="center"/>
        <w:rPr>
          <w:szCs w:val="20"/>
          <w:lang w:val="en-ID"/>
        </w:rPr>
      </w:pPr>
      <w:r w:rsidRPr="00445D2F">
        <w:rPr>
          <w:szCs w:val="20"/>
          <w:lang w:val="en"/>
        </w:rPr>
        <w:t>Table 2. Analysis of Indonesia's Human Development Index Trends 2022-2024</w:t>
      </w:r>
    </w:p>
    <w:tbl>
      <w:tblPr>
        <w:tblStyle w:val="PlainTable41"/>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1379"/>
        <w:gridCol w:w="1379"/>
        <w:gridCol w:w="1815"/>
      </w:tblGrid>
      <w:tr w:rsidR="00445D2F" w:rsidRPr="00445D2F" w14:paraId="368B0A8B" w14:textId="77777777" w:rsidTr="00636913">
        <w:trPr>
          <w:cnfStyle w:val="100000000000" w:firstRow="1" w:lastRow="0" w:firstColumn="0" w:lastColumn="0" w:oddVBand="0" w:evenVBand="0" w:oddHBand="0"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573" w:type="dxa"/>
            <w:gridSpan w:val="3"/>
          </w:tcPr>
          <w:p w14:paraId="31E197D8" w14:textId="77777777" w:rsidR="00445D2F" w:rsidRPr="00445D2F" w:rsidRDefault="00445D2F" w:rsidP="00636913">
            <w:pPr>
              <w:jc w:val="center"/>
              <w:rPr>
                <w:rFonts w:eastAsia="Times New Roman"/>
                <w:color w:val="000000" w:themeColor="text1"/>
                <w:szCs w:val="20"/>
              </w:rPr>
            </w:pPr>
            <w:r w:rsidRPr="00445D2F">
              <w:rPr>
                <w:rFonts w:eastAsia="Times New Roman"/>
                <w:szCs w:val="20"/>
                <w:lang w:val="en"/>
              </w:rPr>
              <w:t>INDONESIA'S HUMAN DEVELOPMENT INDEX</w:t>
            </w:r>
          </w:p>
        </w:tc>
      </w:tr>
      <w:tr w:rsidR="00445D2F" w:rsidRPr="00445D2F" w14:paraId="0E816D06" w14:textId="77777777" w:rsidTr="00636913">
        <w:trPr>
          <w:trHeight w:val="364"/>
          <w:jc w:val="center"/>
        </w:trPr>
        <w:tc>
          <w:tcPr>
            <w:cnfStyle w:val="001000000000" w:firstRow="0" w:lastRow="0" w:firstColumn="1" w:lastColumn="0" w:oddVBand="0" w:evenVBand="0" w:oddHBand="0" w:evenHBand="0" w:firstRowFirstColumn="0" w:firstRowLastColumn="0" w:lastRowFirstColumn="0" w:lastRowLastColumn="0"/>
            <w:tcW w:w="1379" w:type="dxa"/>
          </w:tcPr>
          <w:p w14:paraId="0F203E81" w14:textId="77777777" w:rsidR="00445D2F" w:rsidRPr="00445D2F" w:rsidRDefault="00445D2F" w:rsidP="00636913">
            <w:pPr>
              <w:rPr>
                <w:rFonts w:eastAsia="Times New Roman"/>
                <w:color w:val="000000" w:themeColor="text1"/>
                <w:szCs w:val="20"/>
              </w:rPr>
            </w:pPr>
          </w:p>
        </w:tc>
        <w:tc>
          <w:tcPr>
            <w:tcW w:w="1379" w:type="dxa"/>
          </w:tcPr>
          <w:p w14:paraId="630AA3B1" w14:textId="77777777" w:rsidR="00445D2F" w:rsidRPr="00445D2F" w:rsidRDefault="00445D2F" w:rsidP="00636913">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themeColor="text1"/>
                <w:szCs w:val="20"/>
              </w:rPr>
            </w:pPr>
          </w:p>
        </w:tc>
        <w:tc>
          <w:tcPr>
            <w:tcW w:w="1815" w:type="dxa"/>
          </w:tcPr>
          <w:p w14:paraId="2A36AC6C" w14:textId="77777777" w:rsidR="00445D2F" w:rsidRPr="00445D2F" w:rsidRDefault="00445D2F" w:rsidP="0063691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Cs w:val="20"/>
              </w:rPr>
            </w:pPr>
            <w:r w:rsidRPr="00445D2F">
              <w:rPr>
                <w:rFonts w:eastAsia="Times New Roman"/>
                <w:b/>
                <w:bCs/>
                <w:color w:val="000000" w:themeColor="text1"/>
                <w:szCs w:val="20"/>
              </w:rPr>
              <w:t>increase</w:t>
            </w:r>
          </w:p>
        </w:tc>
      </w:tr>
      <w:tr w:rsidR="00445D2F" w:rsidRPr="00445D2F" w14:paraId="38CE8AC3" w14:textId="77777777" w:rsidTr="00636913">
        <w:trPr>
          <w:trHeight w:val="364"/>
          <w:jc w:val="center"/>
        </w:trPr>
        <w:tc>
          <w:tcPr>
            <w:cnfStyle w:val="001000000000" w:firstRow="0" w:lastRow="0" w:firstColumn="1" w:lastColumn="0" w:oddVBand="0" w:evenVBand="0" w:oddHBand="0" w:evenHBand="0" w:firstRowFirstColumn="0" w:firstRowLastColumn="0" w:lastRowFirstColumn="0" w:lastRowLastColumn="0"/>
            <w:tcW w:w="1379" w:type="dxa"/>
          </w:tcPr>
          <w:p w14:paraId="16404517" w14:textId="77777777" w:rsidR="00445D2F" w:rsidRPr="00445D2F" w:rsidRDefault="00445D2F" w:rsidP="00636913">
            <w:pPr>
              <w:rPr>
                <w:rFonts w:eastAsia="Times New Roman"/>
                <w:b w:val="0"/>
                <w:color w:val="000000" w:themeColor="text1"/>
                <w:szCs w:val="20"/>
              </w:rPr>
            </w:pPr>
            <w:r w:rsidRPr="00445D2F">
              <w:rPr>
                <w:rFonts w:eastAsia="Times New Roman"/>
                <w:b w:val="0"/>
                <w:color w:val="000000" w:themeColor="text1"/>
                <w:szCs w:val="20"/>
              </w:rPr>
              <w:t>2022</w:t>
            </w:r>
          </w:p>
        </w:tc>
        <w:tc>
          <w:tcPr>
            <w:tcW w:w="1379" w:type="dxa"/>
          </w:tcPr>
          <w:p w14:paraId="3AA748E4" w14:textId="77777777" w:rsidR="00445D2F" w:rsidRPr="00445D2F" w:rsidRDefault="00445D2F" w:rsidP="006369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0"/>
              </w:rPr>
            </w:pPr>
            <w:r w:rsidRPr="00445D2F">
              <w:rPr>
                <w:rFonts w:eastAsia="Times New Roman"/>
                <w:color w:val="000000" w:themeColor="text1"/>
                <w:szCs w:val="20"/>
              </w:rPr>
              <w:t>72.91</w:t>
            </w:r>
          </w:p>
        </w:tc>
        <w:tc>
          <w:tcPr>
            <w:tcW w:w="1815" w:type="dxa"/>
          </w:tcPr>
          <w:p w14:paraId="3EA41BE2" w14:textId="77777777" w:rsidR="00445D2F" w:rsidRPr="00445D2F" w:rsidRDefault="00445D2F" w:rsidP="00636913">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0"/>
              </w:rPr>
            </w:pPr>
          </w:p>
        </w:tc>
      </w:tr>
      <w:tr w:rsidR="00445D2F" w:rsidRPr="00445D2F" w14:paraId="59E65845" w14:textId="77777777" w:rsidTr="00636913">
        <w:trPr>
          <w:trHeight w:val="364"/>
          <w:jc w:val="center"/>
        </w:trPr>
        <w:tc>
          <w:tcPr>
            <w:cnfStyle w:val="001000000000" w:firstRow="0" w:lastRow="0" w:firstColumn="1" w:lastColumn="0" w:oddVBand="0" w:evenVBand="0" w:oddHBand="0" w:evenHBand="0" w:firstRowFirstColumn="0" w:firstRowLastColumn="0" w:lastRowFirstColumn="0" w:lastRowLastColumn="0"/>
            <w:tcW w:w="1379" w:type="dxa"/>
          </w:tcPr>
          <w:p w14:paraId="66AE36A0" w14:textId="77777777" w:rsidR="00445D2F" w:rsidRPr="00445D2F" w:rsidRDefault="00445D2F" w:rsidP="00636913">
            <w:pPr>
              <w:rPr>
                <w:rFonts w:eastAsia="Times New Roman"/>
                <w:b w:val="0"/>
                <w:color w:val="000000" w:themeColor="text1"/>
                <w:szCs w:val="20"/>
              </w:rPr>
            </w:pPr>
            <w:r w:rsidRPr="00445D2F">
              <w:rPr>
                <w:rFonts w:eastAsia="Times New Roman"/>
                <w:b w:val="0"/>
                <w:color w:val="000000" w:themeColor="text1"/>
                <w:szCs w:val="20"/>
              </w:rPr>
              <w:t>2023</w:t>
            </w:r>
          </w:p>
        </w:tc>
        <w:tc>
          <w:tcPr>
            <w:tcW w:w="1379" w:type="dxa"/>
          </w:tcPr>
          <w:p w14:paraId="44728585" w14:textId="77777777" w:rsidR="00445D2F" w:rsidRPr="00445D2F" w:rsidRDefault="00445D2F" w:rsidP="006369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0"/>
              </w:rPr>
            </w:pPr>
            <w:r w:rsidRPr="00445D2F">
              <w:rPr>
                <w:rFonts w:eastAsia="Times New Roman"/>
                <w:color w:val="000000" w:themeColor="text1"/>
                <w:szCs w:val="20"/>
              </w:rPr>
              <w:t>73.55</w:t>
            </w:r>
          </w:p>
        </w:tc>
        <w:tc>
          <w:tcPr>
            <w:tcW w:w="1815" w:type="dxa"/>
          </w:tcPr>
          <w:p w14:paraId="787920A5" w14:textId="77777777" w:rsidR="00445D2F" w:rsidRPr="00445D2F" w:rsidRDefault="00445D2F" w:rsidP="0063691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0"/>
              </w:rPr>
            </w:pPr>
            <w:r w:rsidRPr="00445D2F">
              <w:rPr>
                <w:rFonts w:eastAsia="Times New Roman"/>
                <w:color w:val="000000" w:themeColor="text1"/>
                <w:szCs w:val="20"/>
              </w:rPr>
              <w:t>+0,88</w:t>
            </w:r>
          </w:p>
        </w:tc>
      </w:tr>
      <w:tr w:rsidR="00445D2F" w:rsidRPr="00445D2F" w14:paraId="5D13C1AE" w14:textId="77777777" w:rsidTr="00636913">
        <w:trPr>
          <w:trHeight w:val="364"/>
          <w:jc w:val="center"/>
        </w:trPr>
        <w:tc>
          <w:tcPr>
            <w:cnfStyle w:val="001000000000" w:firstRow="0" w:lastRow="0" w:firstColumn="1" w:lastColumn="0" w:oddVBand="0" w:evenVBand="0" w:oddHBand="0" w:evenHBand="0" w:firstRowFirstColumn="0" w:firstRowLastColumn="0" w:lastRowFirstColumn="0" w:lastRowLastColumn="0"/>
            <w:tcW w:w="1379" w:type="dxa"/>
          </w:tcPr>
          <w:p w14:paraId="74D53258" w14:textId="77777777" w:rsidR="00445D2F" w:rsidRPr="00445D2F" w:rsidRDefault="00445D2F" w:rsidP="00636913">
            <w:pPr>
              <w:rPr>
                <w:rFonts w:eastAsia="Times New Roman"/>
                <w:b w:val="0"/>
                <w:color w:val="000000" w:themeColor="text1"/>
                <w:szCs w:val="20"/>
              </w:rPr>
            </w:pPr>
            <w:r w:rsidRPr="00445D2F">
              <w:rPr>
                <w:rFonts w:eastAsia="Times New Roman"/>
                <w:b w:val="0"/>
                <w:color w:val="000000" w:themeColor="text1"/>
                <w:szCs w:val="20"/>
              </w:rPr>
              <w:t>2024</w:t>
            </w:r>
          </w:p>
        </w:tc>
        <w:tc>
          <w:tcPr>
            <w:tcW w:w="1379" w:type="dxa"/>
          </w:tcPr>
          <w:p w14:paraId="31F94DA9" w14:textId="77777777" w:rsidR="00445D2F" w:rsidRPr="00445D2F" w:rsidRDefault="00445D2F" w:rsidP="006369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0"/>
              </w:rPr>
            </w:pPr>
            <w:r w:rsidRPr="00445D2F">
              <w:rPr>
                <w:rFonts w:eastAsia="Times New Roman"/>
                <w:color w:val="000000" w:themeColor="text1"/>
                <w:szCs w:val="20"/>
              </w:rPr>
              <w:t>74.2</w:t>
            </w:r>
          </w:p>
        </w:tc>
        <w:tc>
          <w:tcPr>
            <w:tcW w:w="1815" w:type="dxa"/>
          </w:tcPr>
          <w:p w14:paraId="44251141" w14:textId="77777777" w:rsidR="00445D2F" w:rsidRPr="00445D2F" w:rsidRDefault="00445D2F" w:rsidP="0063691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0"/>
              </w:rPr>
            </w:pPr>
            <w:r w:rsidRPr="00445D2F">
              <w:rPr>
                <w:rFonts w:eastAsia="Times New Roman"/>
                <w:color w:val="000000" w:themeColor="text1"/>
                <w:szCs w:val="20"/>
              </w:rPr>
              <w:t>+0.88</w:t>
            </w:r>
          </w:p>
        </w:tc>
      </w:tr>
    </w:tbl>
    <w:p w14:paraId="59FA0C99" w14:textId="77777777" w:rsidR="00445D2F" w:rsidRPr="00445D2F" w:rsidRDefault="00445D2F" w:rsidP="00445D2F">
      <w:pPr>
        <w:jc w:val="center"/>
        <w:rPr>
          <w:szCs w:val="20"/>
        </w:rPr>
      </w:pPr>
      <w:r w:rsidRPr="00445D2F">
        <w:rPr>
          <w:szCs w:val="20"/>
        </w:rPr>
        <w:t xml:space="preserve">Source: Statistics Indonesia (BPS), Human Development Index of Indonesia Publications for 2022-2024. Data were processed by the researchers using </w:t>
      </w:r>
      <w:proofErr w:type="spellStart"/>
      <w:r w:rsidRPr="00445D2F">
        <w:rPr>
          <w:szCs w:val="20"/>
        </w:rPr>
        <w:t>Microsft</w:t>
      </w:r>
      <w:proofErr w:type="spellEnd"/>
      <w:r w:rsidRPr="00445D2F">
        <w:rPr>
          <w:szCs w:val="20"/>
        </w:rPr>
        <w:t xml:space="preserve"> Excel (2025)</w:t>
      </w:r>
    </w:p>
    <w:p w14:paraId="41BD1E44" w14:textId="77777777" w:rsidR="00445D2F" w:rsidRDefault="00445D2F" w:rsidP="00445D2F">
      <w:pPr>
        <w:ind w:firstLine="720"/>
        <w:rPr>
          <w:szCs w:val="20"/>
        </w:rPr>
      </w:pPr>
      <w:r w:rsidRPr="00445D2F">
        <w:rPr>
          <w:szCs w:val="20"/>
        </w:rPr>
        <w:t xml:space="preserve">Based on the data in Table 2, Indonesia's Human Development Index (HDI) in 2024 shows a consistent upward trend, from 72.91 in 2022 to 73.55 in 2023, and reaching 74.20 in 2024, with an average growth rate of approximately 0.88 percent per year. However, this increase has not been fully accompanied by regional equality, as several provinces in eastern Indonesia, particularly Highlands Papua and Central Papua, still recorded HDI scores far below the national average, at 53.42 and 59.75, respectively, in 2024. This condition </w:t>
      </w:r>
      <w:r w:rsidRPr="00445D2F">
        <w:rPr>
          <w:szCs w:val="20"/>
        </w:rPr>
        <w:lastRenderedPageBreak/>
        <w:t>indicates that human development in inter-Provincial Indonesia still faces regional inequality, reflecting differences in access to education, health care, and economic opportunities between provinces.</w:t>
      </w:r>
    </w:p>
    <w:p w14:paraId="6AF53C34" w14:textId="77777777" w:rsidR="00445D2F" w:rsidRDefault="00445D2F" w:rsidP="00445D2F">
      <w:pPr>
        <w:ind w:firstLine="720"/>
        <w:rPr>
          <w:szCs w:val="20"/>
        </w:rPr>
      </w:pPr>
      <w:r w:rsidRPr="00445D2F">
        <w:rPr>
          <w:szCs w:val="20"/>
        </w:rPr>
        <w:t xml:space="preserve">Several </w:t>
      </w:r>
      <w:proofErr w:type="spellStart"/>
      <w:r w:rsidRPr="00445D2F">
        <w:rPr>
          <w:szCs w:val="20"/>
        </w:rPr>
        <w:t>studies,such</w:t>
      </w:r>
      <w:proofErr w:type="spellEnd"/>
      <w:r w:rsidRPr="00445D2F">
        <w:rPr>
          <w:szCs w:val="20"/>
        </w:rPr>
        <w:t xml:space="preserve"> as those by </w:t>
      </w:r>
      <w:r w:rsidRPr="00445D2F">
        <w:rPr>
          <w:szCs w:val="20"/>
        </w:rPr>
        <w:fldChar w:fldCharType="begin" w:fldLock="1"/>
      </w:r>
      <w:r w:rsidRPr="00445D2F">
        <w:rPr>
          <w:szCs w:val="20"/>
        </w:rPr>
        <w:instrText>ADDIN CSL_CITATION {"citationItems":[{"id":"ITEM-1","itemData":{"author":[{"dropping-particle":"","family":"Mailadani","given":"Diah Ayu","non-dropping-particle":"","parse-names":false,"suffix":""},{"dropping-particle":"","family":"Rosintan","given":"Lydia","non-dropping-particle":"","parse-names":false,"suffix":""}],"id":"ITEM-1","issue":"1","issued":{"date-parts":[["2024"]]},"page":"1-9","title":"Determinan Indeks Pembangunan Manusia ( IPM ) di Indonesia Tahun 1990-2021 Determinants of The Human Development Index ( HDI ) In Indonesia ,","type":"article-journal","volume":"24"},"uris":["http://www.mendeley.com/documents/?uuid=a88dd94d-982b-4aab-aa99-85ece928e2bb","http://www.mendeley.com/documents/?uuid=8db7b73e-7898-433b-9e0a-7cccbb56e0a1"]}],"mendeley":{"formattedCitation":"(Mailadani &amp; Rosintan, 2024)","plainTextFormattedCitation":"(Mailadani &amp; Rosintan, 2024)","previouslyFormattedCitation":"(Mailadani &amp; Rosintan, 2024)"},"properties":{"noteIndex":0},"schema":"https://github.com/citation-style-language/schema/raw/master/csl-citation.json"}</w:instrText>
      </w:r>
      <w:r w:rsidRPr="00445D2F">
        <w:rPr>
          <w:szCs w:val="20"/>
        </w:rPr>
        <w:fldChar w:fldCharType="separate"/>
      </w:r>
      <w:r w:rsidRPr="00445D2F">
        <w:rPr>
          <w:noProof/>
          <w:szCs w:val="20"/>
        </w:rPr>
        <w:t>(Mailadani &amp; Rosintan, 2024)</w:t>
      </w:r>
      <w:r w:rsidRPr="00445D2F">
        <w:rPr>
          <w:szCs w:val="20"/>
        </w:rPr>
        <w:fldChar w:fldCharType="end"/>
      </w:r>
      <w:r w:rsidRPr="00445D2F">
        <w:rPr>
          <w:szCs w:val="20"/>
        </w:rPr>
        <w:t xml:space="preserve"> , show that macroeconomic factors such as unemployment, inflation, and investment have a significant influence on the Human Development Index (HDI) in inter-Provincial Indonesia., show that macroeconomic factors such as unemployment, inflation, and investment have a significant influence on the Human Development Index (HDI) in inter-Provincial Indonesia. The study by </w:t>
      </w:r>
      <w:r w:rsidRPr="00445D2F">
        <w:rPr>
          <w:szCs w:val="20"/>
        </w:rPr>
        <w:fldChar w:fldCharType="begin" w:fldLock="1"/>
      </w:r>
      <w:r w:rsidRPr="00445D2F">
        <w:rPr>
          <w:szCs w:val="20"/>
        </w:rPr>
        <w:instrText>ADDIN CSL_CITATION {"citationItems":[{"id":"ITEM-1","itemData":{"author":[{"dropping-particle":"","family":"Julianti","given":"Shella Marliani","non-dropping-particle":"","parse-names":false,"suffix":""},{"dropping-particle":"","family":"Sukarniati","given":"Lestari","non-dropping-particle":"","parse-names":false,"suffix":""}],"id":"ITEM-1","issue":"2","issued":{"date-parts":[["2022"]]},"page":"96-109","title":"ANALISIS DETERMINAN INDEKS PEMBANGUNAN MANUSIA MENGGUNAKAN VARIABEL MAKROEKONOMI ( STUDI KASUS 34 PROVINSI DI INDONESIA TAHUN 2019-2021 )","type":"article-journal","volume":"1"},"uris":["http://www.mendeley.com/documents/?uuid=be0ee7c9-39e4-4f55-987e-382b919254aa","http://www.mendeley.com/documents/?uuid=502b6a56-8c5e-4b0f-8e82-f6239ffa9f2f"]}],"mendeley":{"formattedCitation":"(Julianti &amp; Sukarniati, 2022)","plainTextFormattedCitation":"(Julianti &amp; Sukarniati, 2022)","previouslyFormattedCitation":"(Julianti &amp; Sukarniati, 2022)"},"properties":{"noteIndex":0},"schema":"https://github.com/citation-style-language/schema/raw/master/csl-citation.json"}</w:instrText>
      </w:r>
      <w:r w:rsidRPr="00445D2F">
        <w:rPr>
          <w:szCs w:val="20"/>
        </w:rPr>
        <w:fldChar w:fldCharType="separate"/>
      </w:r>
      <w:r w:rsidRPr="00445D2F">
        <w:rPr>
          <w:noProof/>
          <w:szCs w:val="20"/>
        </w:rPr>
        <w:t>(Julianti &amp; Sukarniati, 2022)</w:t>
      </w:r>
      <w:r w:rsidRPr="00445D2F">
        <w:rPr>
          <w:szCs w:val="20"/>
        </w:rPr>
        <w:fldChar w:fldCharType="end"/>
      </w:r>
      <w:r w:rsidRPr="00445D2F">
        <w:rPr>
          <w:szCs w:val="20"/>
        </w:rPr>
        <w:t xml:space="preserve"> also emphasizes that inter-provincial disparities in macroeconomic variables contribute to variations in HDI. However, most of these studies have not considered post-COVID-19 pandemic dynamics and the impact of regional expansion in 2022, which added four new provinces to Papua. This limitation creates a research gap in understanding the role of macroeconomic variables on the Human Development Index in the current period, particularly in the context of equitable distribution of human development inter-provin</w:t>
      </w:r>
      <w:r>
        <w:rPr>
          <w:szCs w:val="20"/>
        </w:rPr>
        <w:t>ces in Indonesia.</w:t>
      </w:r>
    </w:p>
    <w:p w14:paraId="7821FADB" w14:textId="6E594F39" w:rsidR="00445D2F" w:rsidRPr="00445D2F" w:rsidRDefault="00445D2F" w:rsidP="00445D2F">
      <w:pPr>
        <w:ind w:firstLine="720"/>
        <w:rPr>
          <w:szCs w:val="20"/>
        </w:rPr>
      </w:pPr>
      <w:r w:rsidRPr="00445D2F">
        <w:rPr>
          <w:szCs w:val="20"/>
        </w:rPr>
        <w:t>This research is important to conduct in order to provide an empirical analysis of the relationship between the Human Development Index and the economic variables that influence it, so that the results can be the basis for formulating more inclusive, equitable, and sustainable human development policies towards the realization of the vision of Golden Indonesia 2045.</w:t>
      </w:r>
      <w:r>
        <w:rPr>
          <w:szCs w:val="20"/>
        </w:rPr>
        <w:t xml:space="preserve"> </w:t>
      </w:r>
      <w:r w:rsidRPr="00445D2F">
        <w:rPr>
          <w:szCs w:val="20"/>
        </w:rPr>
        <w:t>Based on the research background, the influence of Average Length of Schooling and Provincial Minimum Wage on the Human Development Index inter-provinces in Indonesia in 2024 is analyzed.</w:t>
      </w:r>
    </w:p>
    <w:p w14:paraId="4AA193BA" w14:textId="77777777" w:rsidR="00445D2F" w:rsidRPr="00445D2F" w:rsidRDefault="00445D2F" w:rsidP="00445D2F">
      <w:pPr>
        <w:rPr>
          <w:b/>
          <w:bCs/>
          <w:szCs w:val="20"/>
        </w:rPr>
      </w:pPr>
      <w:r w:rsidRPr="00445D2F">
        <w:rPr>
          <w:b/>
          <w:bCs/>
          <w:szCs w:val="20"/>
        </w:rPr>
        <w:t>Average Years of Schooling</w:t>
      </w:r>
    </w:p>
    <w:p w14:paraId="2938C216" w14:textId="77777777" w:rsidR="00445D2F" w:rsidRDefault="00445D2F" w:rsidP="00445D2F">
      <w:pPr>
        <w:ind w:firstLine="720"/>
        <w:rPr>
          <w:szCs w:val="20"/>
        </w:rPr>
      </w:pPr>
      <w:r w:rsidRPr="00445D2F">
        <w:rPr>
          <w:szCs w:val="20"/>
        </w:rPr>
        <w:t xml:space="preserve">Average Years of Schooling (AYS) is an essential indicator that reflects the level of education and the quality of human capital in a given region. According to Statistics Indonesia </w:t>
      </w:r>
      <w:r w:rsidRPr="00445D2F">
        <w:rPr>
          <w:szCs w:val="20"/>
        </w:rPr>
        <w:fldChar w:fldCharType="begin" w:fldLock="1"/>
      </w:r>
      <w:r w:rsidRPr="00445D2F">
        <w:rPr>
          <w:szCs w:val="20"/>
        </w:rPr>
        <w:instrText>ADDIN CSL_CITATION {"citationItems":[{"id":"ITEM-1","itemData":{"abstract":"Pembangunan Sumber Daya Manusia (SDM) merupakan salah satu prioritas utama dalam mewujudkan kemajuan suatu wilayah. Indeks Pembangunan Manusia (IPM) menjadi salah satu indikator yang digunakan untuk mengukur kualitas SDM. Penelitian ini bertujuan untuk menganalisis kualitas SDM di Provinsi Gorontalo menggunakan IPM sebagai indikator utama. Data sekunder dari Badan Pusat Statistik (BPS) dianalisis untuk mengukur tiga dimensi IPM, yaitu kesehatan, pendidikan, dan standar hidup layak selama periode 2019-2023. Hasil penelitian menunjukkan peningkatan tren IPM di seluruh wilayah, meskipun dengan laju yang bervariasi.Kota Gorontalo mencatat nilai IPM tertinggi, mencerminkan kualitas pembangunan yang lebih baik dibandingkan kabupaten lainnya. Sementara itu, Gorontalo Utara memiliki IPM terendah, meskipun ada peningkatan dari tahun ke tahun. Analisis lebih lanjut menunjukkan bahwa disparitas signifikan pada dimensi kesehatan, pendidikan, dan pengeluaran per kapita antara wilayah perkotaan dan pedesaan menjadi tantangan utama. Penelitian ini menyarankan perlunya pemerataan pembangunan melalui peningkatan akses layanan kesehatan, pendidikan berkualitas, dan infrastruktur ekonomi untuk mengurangi kesenjangan antarwilayah. Temuan ini diharapkan dapat memberikan kontribusi bagi pengambilan kebijakan yang lebih inklusif bagi pembangunan SDM di Provinsi Gorontalo.","author":[{"dropping-particle":"","family":"Yusuf","given":"Muhammad","non-dropping-particle":"","parse-names":false,"suffix":""},{"dropping-particle":"","family":"Lihawa","given":"Fitriyane","non-dropping-particle":"","parse-names":false,"suffix":""},{"dropping-particle":"","family":"Baderan","given":"Dewi Wahyuni K","non-dropping-particle":"","parse-names":false,"suffix":""}],"container-title":"Jurnal Wilayah, Kota dan Lingkungan Berkelanjutan","id":"ITEM-1","issue":"2","issued":{"date-parts":[["2024"]]},"page":"262-273","title":"Kajian Indeks Pembangunan Manusia sebagai Indikator Pengukuran Kualitas Sumber Daya Manusia di Provinsi Gorontalo Institusi Program Studi Magister Kependudukan dan Lingkungan Hidup Universitas Negeri","type":"article-journal","volume":"3"},"uris":["http://www.mendeley.com/documents/?uuid=2dc886b1-8be0-41c5-bd8b-68e643adac38"]}],"mendeley":{"formattedCitation":"(Yusuf et al., 2024)","plainTextFormattedCitation":"(Yusuf et al., 2024)","previouslyFormattedCitation":"(Yusuf et al., 2024)"},"properties":{"noteIndex":0},"schema":"https://github.com/citation-style-language/schema/raw/master/csl-citation.json"}</w:instrText>
      </w:r>
      <w:r w:rsidRPr="00445D2F">
        <w:rPr>
          <w:szCs w:val="20"/>
        </w:rPr>
        <w:fldChar w:fldCharType="separate"/>
      </w:r>
      <w:r w:rsidRPr="00445D2F">
        <w:rPr>
          <w:noProof/>
          <w:szCs w:val="20"/>
        </w:rPr>
        <w:t>(Yusuf et al., 2024)</w:t>
      </w:r>
      <w:r w:rsidRPr="00445D2F">
        <w:rPr>
          <w:szCs w:val="20"/>
        </w:rPr>
        <w:fldChar w:fldCharType="end"/>
      </w:r>
      <w:r w:rsidRPr="00445D2F">
        <w:rPr>
          <w:szCs w:val="20"/>
        </w:rPr>
        <w:t>, AYS represents the average number of years spent by individuals aged 25 years and above in formal education. This indicator is used to assess the extent to which the population has access to education and the capability to acquire knowledge and skills. A higher Average Years of Schooling implies a greater capacity for individuals to develop their potential and participate actively in economic and social activities. Thus, AYS not only reflects educational attainment but is also closely associated with improvements in productivity, welfare, and overall quality of life.</w:t>
      </w:r>
    </w:p>
    <w:p w14:paraId="31E6BD23" w14:textId="54532E17" w:rsidR="00445D2F" w:rsidRPr="00445D2F" w:rsidRDefault="00445D2F" w:rsidP="00445D2F">
      <w:pPr>
        <w:ind w:firstLine="720"/>
        <w:rPr>
          <w:szCs w:val="20"/>
        </w:rPr>
      </w:pPr>
      <w:r w:rsidRPr="00445D2F">
        <w:rPr>
          <w:szCs w:val="20"/>
        </w:rPr>
        <w:t xml:space="preserve">Based on Human Capital Theory introduced by Becker </w:t>
      </w:r>
      <w:r w:rsidRPr="00445D2F">
        <w:rPr>
          <w:szCs w:val="20"/>
        </w:rPr>
        <w:fldChar w:fldCharType="begin" w:fldLock="1"/>
      </w:r>
      <w:r w:rsidRPr="00445D2F">
        <w:rPr>
          <w:szCs w:val="20"/>
        </w:rPr>
        <w:instrText>ADDIN CSL_CITATION {"citationItems":[{"id":"ITEM-1","itemData":{"author":[{"dropping-particle":"","family":"Azahrah","given":"Tania","non-dropping-particle":"","parse-names":false,"suffix":""},{"dropping-particle":"","family":"Bella","given":"Salsa","non-dropping-particle":"","parse-names":false,"suffix":""},{"dropping-particle":"","family":"Martodiryo","given":"Suratno","non-dropping-particle":"","parse-names":false,"suffix":""},{"dropping-particle":"","family":"Permatasari","given":"Melly Agustina","non-dropping-particle":"","parse-names":false,"suffix":""},{"dropping-particle":"","family":"Nicky","given":"Monry Fraick","non-dropping-particle":"","parse-names":false,"suffix":""},{"dropping-particle":"","family":"Ratumbuysang","given":"Gillian","non-dropping-particle":"","parse-names":false,"suffix":""}],"id":"ITEM-1","issue":"3","issued":{"date-parts":[["2025"]]},"page":"225-233","title":"ANALISIS RATA-RATA LAMA SEKOLAH DAN PENGELUARAN PER KAPITA SEBAGAI PEMBENTUK INDEKS PEMBANGUNAN MANUSIA ( IPM ) DI KABUPATEN","type":"article-journal","volume":"13"},"uris":["http://www.mendeley.com/documents/?uuid=2a661387-a8d4-42cb-9a6f-7ccbfc573ebc","http://www.mendeley.com/documents/?uuid=9bdadade-bb66-4282-a602-76682c245bee"]}],"mendeley":{"formattedCitation":"(Azahrah et al., 2025)","plainTextFormattedCitation":"(Azahrah et al., 2025)","previouslyFormattedCitation":"(Azahrah et al., 2025)"},"properties":{"noteIndex":0},"schema":"https://github.com/citation-style-language/schema/raw/master/csl-citation.json"}</w:instrText>
      </w:r>
      <w:r w:rsidRPr="00445D2F">
        <w:rPr>
          <w:szCs w:val="20"/>
        </w:rPr>
        <w:fldChar w:fldCharType="separate"/>
      </w:r>
      <w:r w:rsidRPr="00445D2F">
        <w:rPr>
          <w:noProof/>
          <w:szCs w:val="20"/>
        </w:rPr>
        <w:t>(Azahrah et al., 2025)</w:t>
      </w:r>
      <w:r w:rsidRPr="00445D2F">
        <w:rPr>
          <w:szCs w:val="20"/>
        </w:rPr>
        <w:fldChar w:fldCharType="end"/>
      </w:r>
      <w:r w:rsidRPr="00445D2F">
        <w:rPr>
          <w:szCs w:val="20"/>
        </w:rPr>
        <w:t>, AYS can be viewed as an investment in human capital. Each additional year of formal education is expected to enhance an individual’s skills, productivity, and future income potential. Provinces with higher AYS tend to have a more capable labor force, leading to improved productivity and economic performance. Thus, AYS not only contributes to social development such as literacy and civic participation but also enhances regional competitive advantage at the provincial level.</w:t>
      </w:r>
    </w:p>
    <w:p w14:paraId="7BF2ADEB" w14:textId="77777777" w:rsidR="00445D2F" w:rsidRPr="00445D2F" w:rsidRDefault="00445D2F" w:rsidP="00445D2F">
      <w:pPr>
        <w:rPr>
          <w:b/>
          <w:bCs/>
          <w:szCs w:val="20"/>
        </w:rPr>
      </w:pPr>
      <w:r w:rsidRPr="00445D2F">
        <w:rPr>
          <w:b/>
          <w:bCs/>
          <w:szCs w:val="20"/>
        </w:rPr>
        <w:t xml:space="preserve">Provincial Minimum Wage  </w:t>
      </w:r>
    </w:p>
    <w:p w14:paraId="3335FC03" w14:textId="19F4B479" w:rsidR="00445D2F" w:rsidRPr="00445D2F" w:rsidRDefault="00445D2F" w:rsidP="00090C24">
      <w:pPr>
        <w:ind w:firstLine="720"/>
        <w:rPr>
          <w:szCs w:val="20"/>
        </w:rPr>
      </w:pPr>
      <w:r w:rsidRPr="00445D2F">
        <w:rPr>
          <w:szCs w:val="20"/>
        </w:rPr>
        <w:t>The concept of minimum wage plays an important role in balancing the interests of workers and employers within labor market systems. Based on Government Regulation of the Republic of Indonesia Number 51 of 2023 concerning Wages, the Provincial Minimum Wage (PMW) is defined as the lowest monthly wage applicable in a province and determined by the governor upon recommendation from the wage council. The determination of PMW considers key factors such as inflation, economic growth, and labor productivity. PMW functions as a social safety net designed to protect workers from excessively low wages while ensuring the fulfillment of a decent living standard. Thus, the PMW is not merely an economic instrument but also a social policy aimed at promoting fairness and welfare among workers across Indonesia.</w:t>
      </w:r>
    </w:p>
    <w:p w14:paraId="4CE0460A" w14:textId="77777777" w:rsidR="00445D2F" w:rsidRDefault="00445D2F" w:rsidP="00445D2F">
      <w:pPr>
        <w:ind w:firstLine="720"/>
        <w:rPr>
          <w:szCs w:val="20"/>
        </w:rPr>
      </w:pPr>
      <w:r w:rsidRPr="00445D2F">
        <w:rPr>
          <w:szCs w:val="20"/>
        </w:rPr>
        <w:t xml:space="preserve">In classical economic thought, Adam Smith </w:t>
      </w:r>
      <w:r w:rsidRPr="00445D2F">
        <w:rPr>
          <w:szCs w:val="20"/>
        </w:rPr>
        <w:fldChar w:fldCharType="begin" w:fldLock="1"/>
      </w:r>
      <w:r w:rsidRPr="00445D2F">
        <w:rPr>
          <w:szCs w:val="20"/>
        </w:rPr>
        <w:instrText>ADDIN CSL_CITATION {"citationItems":[{"id":"ITEM-1","itemData":{"author":[{"dropping-particle":"","family":"Sabihi","given":"Dewi M","non-dropping-particle":"","parse-names":false,"suffix":""},{"dropping-particle":"","family":"Kumenaung","given":"Anderson G","non-dropping-particle":"","parse-names":false,"suffix":""},{"dropping-particle":"","family":"Niode","given":"Audie O","non-dropping-particle":"","parse-names":false,"suffix":""},{"dropping-particle":"","family":"Kunci","given":"Kata","non-dropping-particle":"","parse-names":false,"suffix":""},{"dropping-particle":"","family":"Sabihi","given":"Dewi M","non-dropping-particle":"","parse-names":false,"suffix":""}],"id":"ITEM-1","issue":"01","issued":{"date-parts":[["2021"]]},"page":"25-36","title":"Jurnal Berkala Ilmiah Efisiensi Volume 21 No . 01 Juli 2021 PENGARUH UPAH MINIMUM PROVINSI , INVESTASI DAN PERTUMBUHAN EKONOMI TERHADAP PENYERAPAN TENAGA KERJA DI KOTA MANADO Jurusan Ekonomi Pembangunan , Fakultas Ekonomi dan Bisnis Universitas Sam Ratulangi , Manado 95115 , Indonesia Email : dewisabihi@gmail.com Jurnal Berkala Ilmiah Efisiensi Dewi M . Sabihi","type":"article-journal","volume":"21"},"uris":["http://www.mendeley.com/documents/?uuid=97c81b8a-7367-49dd-8df2-c1d120a4d309","http://www.mendeley.com/documents/?uuid=6168fb15-989d-4983-ae93-35b84b07e978"]}],"mendeley":{"formattedCitation":"(Sabihi et al., 2021)","plainTextFormattedCitation":"(Sabihi et al., 2021)","previouslyFormattedCitation":"(Sabihi et al., 2021)"},"properties":{"noteIndex":0},"schema":"https://github.com/citation-style-language/schema/raw/master/csl-citation.json"}</w:instrText>
      </w:r>
      <w:r w:rsidRPr="00445D2F">
        <w:rPr>
          <w:szCs w:val="20"/>
        </w:rPr>
        <w:fldChar w:fldCharType="separate"/>
      </w:r>
      <w:r w:rsidRPr="00445D2F">
        <w:rPr>
          <w:noProof/>
          <w:szCs w:val="20"/>
        </w:rPr>
        <w:t>(Sabihi et al., 2021)</w:t>
      </w:r>
      <w:r w:rsidRPr="00445D2F">
        <w:rPr>
          <w:szCs w:val="20"/>
        </w:rPr>
        <w:fldChar w:fldCharType="end"/>
      </w:r>
      <w:r w:rsidRPr="00445D2F">
        <w:rPr>
          <w:szCs w:val="20"/>
        </w:rPr>
        <w:t xml:space="preserve"> in The Wealth of Nations explains that wage levels are determined by the labor market mechanism influenced by the interaction between labor supply and demand. When labor supply exceeds demand, wages tend to decline; conversely, limited labor availability pushes wages upward. Smith also introduced the concept of the subsistence wage, the minimum wage required to ensure workers can meet basic needs and remain productive. This idea forms the basis for governmental intervention in minimum wage policies as a protective measure against labor market uncertainties.</w:t>
      </w:r>
    </w:p>
    <w:p w14:paraId="4354A6A5" w14:textId="3AE897C6" w:rsidR="00445D2F" w:rsidRPr="00445D2F" w:rsidRDefault="00445D2F" w:rsidP="00445D2F">
      <w:pPr>
        <w:ind w:firstLine="720"/>
        <w:rPr>
          <w:szCs w:val="20"/>
        </w:rPr>
      </w:pPr>
      <w:r w:rsidRPr="00445D2F">
        <w:rPr>
          <w:szCs w:val="20"/>
        </w:rPr>
        <w:lastRenderedPageBreak/>
        <w:t xml:space="preserve">Todaro and Smith further argue that minimum wage policies serve as important instruments for enhancing worker welfare and reducing economic inequality. They emphasize that minimum wages help alleviate poverty, improve income distribution, and promote social justice in labor markets. However, Todaro and Smith also caution that minimum wage policies must be aligned with labor productivity, as setting wages too high relative to productivity may lead to structural unemployment, particularly in the informal sector and among small enterprises with limited capacity to absorb higher labor costs </w:t>
      </w:r>
      <w:r w:rsidRPr="00445D2F">
        <w:rPr>
          <w:szCs w:val="20"/>
        </w:rPr>
        <w:fldChar w:fldCharType="begin" w:fldLock="1"/>
      </w:r>
      <w:r w:rsidRPr="00445D2F">
        <w:rPr>
          <w:szCs w:val="20"/>
        </w:rPr>
        <w:instrText>ADDIN CSL_CITATION {"citationItems":[{"id":"ITEM-1","itemData":{"ISBN":"9780138013882","author":[{"dropping-particle":"","family":"Bank","given":"World","non-dropping-particle":"","parse-names":false,"suffix":""}],"id":"ITEM-1","issued":{"date-parts":[["0"]]},"title":"The Developed and Developing World Income","type":"book"},"uris":["http://www.mendeley.com/documents/?uuid=d7a8e4dd-dd73-4d17-833d-40d7ae5412c0","http://www.mendeley.com/documents/?uuid=39f62d76-3911-4ff5-97b5-374deba18c1f"]}],"mendeley":{"formattedCitation":"(Bank, n.d.)","plainTextFormattedCitation":"(Bank, n.d.)","previouslyFormattedCitation":"(Bank, n.d.)"},"properties":{"noteIndex":0},"schema":"https://github.com/citation-style-language/schema/raw/master/csl-citation.json"}</w:instrText>
      </w:r>
      <w:r w:rsidRPr="00445D2F">
        <w:rPr>
          <w:szCs w:val="20"/>
        </w:rPr>
        <w:fldChar w:fldCharType="separate"/>
      </w:r>
      <w:r w:rsidRPr="00445D2F">
        <w:rPr>
          <w:noProof/>
          <w:szCs w:val="20"/>
        </w:rPr>
        <w:t>(Bank, n.d.)</w:t>
      </w:r>
      <w:r w:rsidRPr="00445D2F">
        <w:rPr>
          <w:szCs w:val="20"/>
        </w:rPr>
        <w:fldChar w:fldCharType="end"/>
      </w:r>
      <w:r w:rsidRPr="00445D2F">
        <w:rPr>
          <w:szCs w:val="20"/>
        </w:rPr>
        <w:t>.</w:t>
      </w:r>
    </w:p>
    <w:p w14:paraId="2189E634" w14:textId="77777777" w:rsidR="00445D2F" w:rsidRPr="00445D2F" w:rsidRDefault="00445D2F" w:rsidP="00445D2F">
      <w:pPr>
        <w:rPr>
          <w:b/>
          <w:bCs/>
          <w:szCs w:val="20"/>
        </w:rPr>
      </w:pPr>
      <w:r w:rsidRPr="00445D2F">
        <w:rPr>
          <w:b/>
          <w:bCs/>
          <w:szCs w:val="20"/>
        </w:rPr>
        <w:t xml:space="preserve">Human Development Index  </w:t>
      </w:r>
    </w:p>
    <w:p w14:paraId="6C2643B5" w14:textId="77777777" w:rsidR="00445D2F" w:rsidRDefault="00445D2F" w:rsidP="00445D2F">
      <w:pPr>
        <w:ind w:firstLine="720"/>
        <w:rPr>
          <w:szCs w:val="20"/>
        </w:rPr>
      </w:pPr>
      <w:r w:rsidRPr="00445D2F">
        <w:rPr>
          <w:szCs w:val="20"/>
        </w:rPr>
        <w:t xml:space="preserve">The Human Development Index (HDI) is a crucial concept in development economics used to measure a country's progress from the perspective of human welfare rather than solely economic growth. According to Todaro and Smith, human development is assessed through the HDI, which encompasses three fundamental dimensions: longevity and health, knowledge, and a decent standard of living </w:t>
      </w:r>
      <w:r w:rsidRPr="00445D2F">
        <w:rPr>
          <w:szCs w:val="20"/>
        </w:rPr>
        <w:fldChar w:fldCharType="begin" w:fldLock="1"/>
      </w:r>
      <w:r w:rsidRPr="00445D2F">
        <w:rPr>
          <w:szCs w:val="20"/>
        </w:rPr>
        <w:instrText>ADDIN CSL_CITATION {"citationItems":[{"id":"ITEM-1","itemData":{"ISBN":"9780138013882","author":[{"dropping-particle":"","family":"Bank","given":"World","non-dropping-particle":"","parse-names":false,"suffix":""}],"id":"ITEM-1","issued":{"date-parts":[["0"]]},"title":"The Developed and Developing World Income","type":"book"},"uris":["http://www.mendeley.com/documents/?uuid=39f62d76-3911-4ff5-97b5-374deba18c1f","http://www.mendeley.com/documents/?uuid=d7a8e4dd-dd73-4d17-833d-40d7ae5412c0"]}],"mendeley":{"formattedCitation":"(Bank, n.d.)","plainTextFormattedCitation":"(Bank, n.d.)","previouslyFormattedCitation":"(Bank, n.d.)"},"properties":{"noteIndex":0},"schema":"https://github.com/citation-style-language/schema/raw/master/csl-citation.json"}</w:instrText>
      </w:r>
      <w:r w:rsidRPr="00445D2F">
        <w:rPr>
          <w:szCs w:val="20"/>
        </w:rPr>
        <w:fldChar w:fldCharType="separate"/>
      </w:r>
      <w:r w:rsidRPr="00445D2F">
        <w:rPr>
          <w:noProof/>
          <w:szCs w:val="20"/>
        </w:rPr>
        <w:t>(Bank, n.d.)</w:t>
      </w:r>
      <w:r w:rsidRPr="00445D2F">
        <w:rPr>
          <w:szCs w:val="20"/>
        </w:rPr>
        <w:fldChar w:fldCharType="end"/>
      </w:r>
      <w:r w:rsidRPr="00445D2F">
        <w:rPr>
          <w:szCs w:val="20"/>
        </w:rPr>
        <w:t>. These dimensions reflect the capability of individuals to live productive and dignified lives. Thus, the HDI provides a comprehensive measure that evaluates improvements in education, health, and economic well-being.</w:t>
      </w:r>
    </w:p>
    <w:p w14:paraId="1194AE42" w14:textId="77777777" w:rsidR="00445D2F" w:rsidRDefault="00445D2F" w:rsidP="00445D2F">
      <w:pPr>
        <w:ind w:firstLine="720"/>
        <w:rPr>
          <w:szCs w:val="20"/>
        </w:rPr>
      </w:pPr>
      <w:r w:rsidRPr="00445D2F">
        <w:rPr>
          <w:szCs w:val="20"/>
        </w:rPr>
        <w:t>Klugman, Rodríguez, and Choi highlight that the HDI was designed to shift the focus of development from economic growth alone toward a broader orientation centered on human welfare. They argue that high economic growth does not always guarantee improved quality of life if access to education and healthcare is not equally distributed. This multidimensional approach makes HDI a comprehensive measure of a province’s quality of life.</w:t>
      </w:r>
      <w:r>
        <w:rPr>
          <w:szCs w:val="20"/>
        </w:rPr>
        <w:t xml:space="preserve"> </w:t>
      </w:r>
    </w:p>
    <w:p w14:paraId="195246A5" w14:textId="0FEDE2CF" w:rsidR="00445D2F" w:rsidRPr="00445D2F" w:rsidRDefault="00445D2F" w:rsidP="00445D2F">
      <w:pPr>
        <w:ind w:firstLine="720"/>
        <w:rPr>
          <w:szCs w:val="20"/>
        </w:rPr>
      </w:pPr>
      <w:r w:rsidRPr="00445D2F">
        <w:rPr>
          <w:szCs w:val="20"/>
        </w:rPr>
        <w:t xml:space="preserve">The United Nations Development </w:t>
      </w:r>
      <w:proofErr w:type="spellStart"/>
      <w:r w:rsidRPr="00445D2F">
        <w:rPr>
          <w:szCs w:val="20"/>
        </w:rPr>
        <w:t>Programme</w:t>
      </w:r>
      <w:proofErr w:type="spellEnd"/>
      <w:r w:rsidRPr="00445D2F">
        <w:rPr>
          <w:szCs w:val="20"/>
        </w:rPr>
        <w:t xml:space="preserve"> (UNDP), the institution that introduced the HDI in 1990, explains that the HDI is a composite measure of average achievements in three core dimensions: health, measured by life expectancy; education, measured by mean years of schooling and expected years of schooling; and standard of living, measured by gross national income per capita. Through this approach, UNDP asserts that human development is not only the ultimate goal of economic progress but also a means to expand human capabilities and life choices. Therefore, HDI serves as a useful indicator for understanding variations in human development at the interprovincial level.</w:t>
      </w:r>
    </w:p>
    <w:p w14:paraId="5F894546" w14:textId="77777777" w:rsidR="00445D2F" w:rsidRPr="00445D2F" w:rsidRDefault="00445D2F" w:rsidP="00445D2F">
      <w:pPr>
        <w:rPr>
          <w:b/>
          <w:bCs/>
          <w:szCs w:val="20"/>
        </w:rPr>
      </w:pPr>
      <w:r w:rsidRPr="00445D2F">
        <w:rPr>
          <w:b/>
          <w:bCs/>
          <w:szCs w:val="20"/>
        </w:rPr>
        <w:t>Relationship Between Average Years of Schooling and Human Development Index</w:t>
      </w:r>
    </w:p>
    <w:p w14:paraId="3A2963CB" w14:textId="77777777" w:rsidR="00445D2F" w:rsidRDefault="00445D2F" w:rsidP="00445D2F">
      <w:pPr>
        <w:ind w:firstLine="720"/>
        <w:rPr>
          <w:szCs w:val="20"/>
        </w:rPr>
      </w:pPr>
      <w:r w:rsidRPr="00445D2F">
        <w:rPr>
          <w:szCs w:val="20"/>
        </w:rPr>
        <w:t xml:space="preserve">The relationship between Average Years of Schooling (AYS) and the Human Development Index (HDI) is inherently positive and fundamental, as AYS is a key indicator that shapes the education dimension of the HDI. According to UNDP guidelines, the education dimension is measured using Expected Years of Schooling and Average Years of Schooling. The study found </w:t>
      </w:r>
      <w:r w:rsidRPr="00445D2F">
        <w:rPr>
          <w:szCs w:val="20"/>
        </w:rPr>
        <w:fldChar w:fldCharType="begin" w:fldLock="1"/>
      </w:r>
      <w:r w:rsidRPr="00445D2F">
        <w:rPr>
          <w:szCs w:val="20"/>
        </w:rPr>
        <w:instrText>ADDIN CSL_CITATION {"citationItems":[{"id":"ITEM-1","itemData":{"author":[{"dropping-particle":"","family":"Agustina","given":"Niken laras","non-dropping-particle":"","parse-names":false,"suffix":""}],"container-title":"</w:instrText>
      </w:r>
      <w:r w:rsidRPr="00445D2F">
        <w:rPr>
          <w:rFonts w:ascii="MS Mincho" w:eastAsia="MS Mincho" w:hAnsi="MS Mincho" w:cs="MS Mincho" w:hint="eastAsia"/>
          <w:szCs w:val="20"/>
        </w:rPr>
        <w:instrText>ペインクリニック学会治療指針２</w:instrText>
      </w:r>
      <w:r w:rsidRPr="00445D2F">
        <w:rPr>
          <w:szCs w:val="20"/>
        </w:rPr>
        <w:instrText>","id":"ITEM-1","issued":{"date-parts":[["2019"]]},"page":"1-9","title":"No Tit</w:instrText>
      </w:r>
      <w:r w:rsidRPr="00445D2F">
        <w:rPr>
          <w:szCs w:val="20"/>
          <w:rtl/>
          <w:lang w:bidi="he-IL"/>
        </w:rPr>
        <w:instrText>ילי</w:instrText>
      </w:r>
      <w:r w:rsidRPr="00445D2F">
        <w:rPr>
          <w:szCs w:val="20"/>
        </w:rPr>
        <w:instrText>le","type":"article-journal"},"uris":["http://www.mendeley.com/documents/?uuid=8d08cbd4-51e8-4b2e-ba0b-5e1d861628fe"]}],"mendeley":{"formattedCitation":"(Agustina, 2019)","plainTextFormattedCitation":"(Agustina, 2019)"},"properties":{"noteIndex":0},"schema":"https://github.com/citation-style-language/schema/raw/master/csl-citation.json"}</w:instrText>
      </w:r>
      <w:r w:rsidRPr="00445D2F">
        <w:rPr>
          <w:szCs w:val="20"/>
        </w:rPr>
        <w:fldChar w:fldCharType="separate"/>
      </w:r>
      <w:r w:rsidRPr="00445D2F">
        <w:rPr>
          <w:noProof/>
          <w:szCs w:val="20"/>
        </w:rPr>
        <w:t>(Agustina, 2019)</w:t>
      </w:r>
      <w:r w:rsidRPr="00445D2F">
        <w:rPr>
          <w:szCs w:val="20"/>
        </w:rPr>
        <w:fldChar w:fldCharType="end"/>
      </w:r>
      <w:r w:rsidRPr="00445D2F">
        <w:rPr>
          <w:szCs w:val="20"/>
        </w:rPr>
        <w:t xml:space="preserve"> that Average Years of Schooling (AYS) and Expected Years of Schooling have a significant positive effect on the Human Development Index (HDI) in </w:t>
      </w:r>
      <w:proofErr w:type="spellStart"/>
      <w:r w:rsidRPr="00445D2F">
        <w:rPr>
          <w:szCs w:val="20"/>
        </w:rPr>
        <w:t>Binjai</w:t>
      </w:r>
      <w:proofErr w:type="spellEnd"/>
      <w:r w:rsidRPr="00445D2F">
        <w:rPr>
          <w:szCs w:val="20"/>
        </w:rPr>
        <w:t xml:space="preserve"> City. The Adjusted R² value of 0.995 indicates that 99.5% of the variation in HDI can be explained by these variables together with life expectancy.”</w:t>
      </w:r>
    </w:p>
    <w:p w14:paraId="1EFBF886" w14:textId="5BBC4D70" w:rsidR="00445D2F" w:rsidRDefault="00445D2F" w:rsidP="00090C24">
      <w:pPr>
        <w:ind w:firstLine="720"/>
        <w:rPr>
          <w:szCs w:val="20"/>
        </w:rPr>
      </w:pPr>
      <w:r w:rsidRPr="00445D2F">
        <w:rPr>
          <w:szCs w:val="20"/>
        </w:rPr>
        <w:t xml:space="preserve">Beyond its direct mathematical contribution, higher AYS also produces broader and reinforcing effects on the other HDI dimensions health and standard of living. According to Becker’s Human Capital Theory (1993), longer education represents an investment that enhances knowledge, skills, and productivity. Higher productivity and earnings strengthen the standard-of-living component of the HDI, particularly in provinces </w:t>
      </w:r>
      <w:proofErr w:type="gramStart"/>
      <w:r w:rsidRPr="00445D2F">
        <w:rPr>
          <w:szCs w:val="20"/>
        </w:rPr>
        <w:t>where</w:t>
      </w:r>
      <w:proofErr w:type="gramEnd"/>
      <w:r w:rsidRPr="00445D2F">
        <w:rPr>
          <w:szCs w:val="20"/>
        </w:rPr>
        <w:t xml:space="preserve"> labor markets reward education with better employment opportunities.</w:t>
      </w:r>
    </w:p>
    <w:p w14:paraId="2CFF2ACB" w14:textId="245844AC" w:rsidR="00445D2F" w:rsidRPr="00445D2F" w:rsidRDefault="00445D2F" w:rsidP="00445D2F">
      <w:pPr>
        <w:ind w:firstLine="720"/>
        <w:rPr>
          <w:szCs w:val="20"/>
        </w:rPr>
      </w:pPr>
      <w:r w:rsidRPr="00445D2F">
        <w:rPr>
          <w:szCs w:val="20"/>
        </w:rPr>
        <w:t>Educational attainment also contributes indirectly to the health dimension. Individuals with more years of schooling generally possess stronger health awareness and a greater ability to interpret medical information, adopt preventive behaviors, and utilize healthcare services effectively. These behavioral improvements support longer life expectancy, thereby strengthening the health component of the HDI across provinces with higher educational attainment.</w:t>
      </w:r>
    </w:p>
    <w:p w14:paraId="70CFAA0B" w14:textId="77777777" w:rsidR="00445D2F" w:rsidRPr="00445D2F" w:rsidRDefault="00445D2F" w:rsidP="00445D2F">
      <w:pPr>
        <w:rPr>
          <w:b/>
          <w:bCs/>
          <w:szCs w:val="20"/>
        </w:rPr>
      </w:pPr>
      <w:r w:rsidRPr="00445D2F">
        <w:rPr>
          <w:b/>
          <w:bCs/>
          <w:szCs w:val="20"/>
        </w:rPr>
        <w:t>Relationship Between Provincial Minimum Wage and Human Development Index</w:t>
      </w:r>
    </w:p>
    <w:p w14:paraId="248D8686" w14:textId="77777777" w:rsidR="00445D2F" w:rsidRDefault="00445D2F" w:rsidP="00445D2F">
      <w:pPr>
        <w:ind w:firstLine="720"/>
        <w:rPr>
          <w:szCs w:val="20"/>
        </w:rPr>
      </w:pPr>
      <w:r w:rsidRPr="00445D2F">
        <w:rPr>
          <w:szCs w:val="20"/>
        </w:rPr>
        <w:t xml:space="preserve">According to Todaro and Smith the Provincial Minimum Wage (PMW) serves as an employment policy instrument that theoretically supports improvements in the Human Development Index (HDI), particularly through the standard-of-living dimension </w:t>
      </w:r>
      <w:r w:rsidRPr="00445D2F">
        <w:rPr>
          <w:szCs w:val="20"/>
        </w:rPr>
        <w:fldChar w:fldCharType="begin" w:fldLock="1"/>
      </w:r>
      <w:r w:rsidRPr="00445D2F">
        <w:rPr>
          <w:szCs w:val="20"/>
        </w:rPr>
        <w:instrText>ADDIN CSL_CITATION {"citationItems":[{"id":"ITEM-1","itemData":{"ISBN":"9780138013882","author":[{"dropping-particle":"","family":"Bank","given":"World","non-dropping-particle":"","parse-names":false,"suffix":""}],"id":"ITEM-1","issued":{"date-parts":[["0"]]},"title":"The Developed and Developing World Income","type":"book"},"uris":["http://www.mendeley.com/documents/?uuid=39f62d76-3911-4ff5-97b5-374deba18c1f","http://www.mendeley.com/documents/?uuid=d7a8e4dd-dd73-4d17-833d-40d7ae5412c0"]}],"mendeley":{"formattedCitation":"(Bank, n.d.)","plainTextFormattedCitation":"(Bank, n.d.)","previouslyFormattedCitation":"(Bank, n.d.)"},"properties":{"noteIndex":0},"schema":"https://github.com/citation-style-language/schema/raw/master/csl-citation.json"}</w:instrText>
      </w:r>
      <w:r w:rsidRPr="00445D2F">
        <w:rPr>
          <w:szCs w:val="20"/>
        </w:rPr>
        <w:fldChar w:fldCharType="separate"/>
      </w:r>
      <w:r w:rsidRPr="00445D2F">
        <w:rPr>
          <w:noProof/>
          <w:szCs w:val="20"/>
        </w:rPr>
        <w:t>(Bank, n.d.)</w:t>
      </w:r>
      <w:r w:rsidRPr="00445D2F">
        <w:rPr>
          <w:szCs w:val="20"/>
        </w:rPr>
        <w:fldChar w:fldCharType="end"/>
      </w:r>
      <w:r w:rsidRPr="00445D2F">
        <w:rPr>
          <w:szCs w:val="20"/>
        </w:rPr>
        <w:t xml:space="preserve">. Since this HDI dimension is measured using adjusted real </w:t>
      </w:r>
      <w:r w:rsidRPr="00445D2F">
        <w:rPr>
          <w:szCs w:val="20"/>
        </w:rPr>
        <w:lastRenderedPageBreak/>
        <w:t>expenditure per capita, an increase in PMW when appropriately aligned with regional economic conditions may raise real income for formal sector workers. Improved income enhances purchasing power, enabling households to consume better-quality food, access healthcare, and support children's education. These improvements contribute indirectly to the health and education dimensions of HDI at the provincial level.</w:t>
      </w:r>
      <w:r>
        <w:rPr>
          <w:szCs w:val="20"/>
        </w:rPr>
        <w:t xml:space="preserve"> </w:t>
      </w:r>
      <w:r w:rsidRPr="00445D2F">
        <w:rPr>
          <w:szCs w:val="20"/>
        </w:rPr>
        <w:t>PMW also plays a role in income redistribution and poverty reduction at the regional level. By establishing a wage floor, minimum wage policies help ensure that workers especially in provinces where the labor force is concentrated in low-wage sectors. Improved purchasing power also supports better family health and nutrition, positively affecting life expectancy, another important component of the HDI.</w:t>
      </w:r>
    </w:p>
    <w:p w14:paraId="3FF2D6C7" w14:textId="646E77CD" w:rsidR="00445D2F" w:rsidRPr="00445D2F" w:rsidRDefault="00445D2F" w:rsidP="00445D2F">
      <w:pPr>
        <w:ind w:firstLine="720"/>
        <w:rPr>
          <w:szCs w:val="20"/>
        </w:rPr>
      </w:pPr>
      <w:r w:rsidRPr="00445D2F">
        <w:rPr>
          <w:szCs w:val="20"/>
        </w:rPr>
        <w:t xml:space="preserve">However, it is important to maintain a balanced perspective. According to neoclassical economic theory, excessively high minimum wages particularly those exceeding labor productivity can lead to structural unemployment </w:t>
      </w:r>
      <w:r w:rsidRPr="00445D2F">
        <w:rPr>
          <w:szCs w:val="20"/>
        </w:rPr>
        <w:fldChar w:fldCharType="begin" w:fldLock="1"/>
      </w:r>
      <w:r w:rsidRPr="00445D2F">
        <w:rPr>
          <w:szCs w:val="20"/>
        </w:rPr>
        <w:instrText>ADDIN CSL_CITATION {"citationItems":[{"id":"ITEM-1","itemData":{"author":[{"dropping-particle":"","family":"Neumark","given":"David","non-dropping-particle":"","parse-names":false,"suffix":""}],"id":"ITEM-1","issued":{"date-parts":[["0"]]},"title":"Minimum Wages and Minimum Wages and Employment","type":"article-journal"},"uris":["http://www.mendeley.com/documents/?uuid=41b00f57-12a1-4702-be2c-425135b48d44","http://www.mendeley.com/documents/?uuid=f87e3594-ac4a-4ec3-93e9-20fb6fc14278"]}],"mendeley":{"formattedCitation":"(Neumark, n.d.)","plainTextFormattedCitation":"(Neumark, n.d.)","previouslyFormattedCitation":"(Neumark, n.d.)"},"properties":{"noteIndex":0},"schema":"https://github.com/citation-style-language/schema/raw/master/csl-citation.json"}</w:instrText>
      </w:r>
      <w:r w:rsidRPr="00445D2F">
        <w:rPr>
          <w:szCs w:val="20"/>
        </w:rPr>
        <w:fldChar w:fldCharType="separate"/>
      </w:r>
      <w:r w:rsidRPr="00445D2F">
        <w:rPr>
          <w:noProof/>
          <w:szCs w:val="20"/>
        </w:rPr>
        <w:t>(Neumark, n.d.)</w:t>
      </w:r>
      <w:r w:rsidRPr="00445D2F">
        <w:rPr>
          <w:szCs w:val="20"/>
        </w:rPr>
        <w:fldChar w:fldCharType="end"/>
      </w:r>
      <w:r w:rsidRPr="00445D2F">
        <w:rPr>
          <w:szCs w:val="20"/>
        </w:rPr>
        <w:t>. In provinces where PMW exceeds the productive capacity of local industries, firms may reduce hiring or limit workforce size, which can suppress aggregate real income. In such contexts, the potential benefits of PMW for improving HDI may not fully materialize. Therefore, the influence of PMW on HDI across the 38 provinces depends on the degree of alignment between minimum wage policies, labor market characteristics, and provincial economic performance.</w:t>
      </w:r>
    </w:p>
    <w:p w14:paraId="1EB8D7AF" w14:textId="784F1A2C" w:rsidR="00FD5205" w:rsidRPr="00445D2F" w:rsidRDefault="00FD5205" w:rsidP="00445D2F">
      <w:pPr>
        <w:pStyle w:val="ListParagraph"/>
        <w:numPr>
          <w:ilvl w:val="0"/>
          <w:numId w:val="7"/>
        </w:numPr>
        <w:spacing w:after="120"/>
        <w:rPr>
          <w:szCs w:val="20"/>
        </w:rPr>
      </w:pPr>
      <w:r w:rsidRPr="00445D2F">
        <w:rPr>
          <w:szCs w:val="20"/>
          <w:lang w:val="en"/>
        </w:rPr>
        <w:t>Research Methods</w:t>
      </w:r>
    </w:p>
    <w:p w14:paraId="671FCB9E" w14:textId="77777777" w:rsidR="00445D2F" w:rsidRPr="00445D2F" w:rsidRDefault="00445D2F" w:rsidP="00445D2F">
      <w:pPr>
        <w:rPr>
          <w:b/>
          <w:bCs/>
          <w:szCs w:val="20"/>
        </w:rPr>
      </w:pPr>
      <w:r w:rsidRPr="00445D2F">
        <w:rPr>
          <w:b/>
          <w:bCs/>
          <w:szCs w:val="20"/>
        </w:rPr>
        <w:t>Type and Source of Data</w:t>
      </w:r>
    </w:p>
    <w:p w14:paraId="7A2D89CF" w14:textId="77777777" w:rsidR="00445D2F" w:rsidRDefault="00445D2F" w:rsidP="00445D2F">
      <w:pPr>
        <w:ind w:firstLine="720"/>
        <w:rPr>
          <w:szCs w:val="20"/>
        </w:rPr>
      </w:pPr>
      <w:r w:rsidRPr="00445D2F">
        <w:rPr>
          <w:szCs w:val="20"/>
        </w:rPr>
        <w:t>This study employs a quantitative research design with an associative approach aimed at examining the relationship and influence of the independent variables average years of schooling and provincial minimum wage on the dependent variable, the Human Development Index (HDI) across Indonesian provinces in 2024. This approach is used to determine the extent to which these economic variables contribute to variations in human development outcomes in Indonesia.</w:t>
      </w:r>
      <w:r>
        <w:rPr>
          <w:szCs w:val="20"/>
        </w:rPr>
        <w:t xml:space="preserve"> </w:t>
      </w:r>
      <w:r w:rsidRPr="00445D2F">
        <w:rPr>
          <w:szCs w:val="20"/>
        </w:rPr>
        <w:t>The population of this study consists of all provinces in Indonesia in 2024. The research sample includes all provinces with complete data on HDI, average years of schooling, and provincial minimum wage obtained from the Central Statistics Agency Statistics Indonesia (BPS). Therefore, this research applies a census method, where the entire population is used as the sample due to its limited size and complete data availability.</w:t>
      </w:r>
    </w:p>
    <w:p w14:paraId="1BFDB0C1" w14:textId="57B5D0F5" w:rsidR="00445D2F" w:rsidRPr="00445D2F" w:rsidRDefault="00445D2F" w:rsidP="00445D2F">
      <w:pPr>
        <w:ind w:firstLine="720"/>
        <w:rPr>
          <w:szCs w:val="20"/>
        </w:rPr>
      </w:pPr>
      <w:r w:rsidRPr="00445D2F">
        <w:rPr>
          <w:szCs w:val="20"/>
        </w:rPr>
        <w:t>Secondary data are collected from official publications of the Central Statistics Agency (BPS), including the Human Development Index by Province, Average Years of Schooling by Province, and Provincial Minimum Wage for 2024. Data collection is carried out through documentation techniques by accessing, recording, and processing statistical data available online on the official BPS platform.</w:t>
      </w:r>
      <w:r>
        <w:rPr>
          <w:szCs w:val="20"/>
        </w:rPr>
        <w:t xml:space="preserve"> </w:t>
      </w:r>
      <w:r w:rsidRPr="00445D2F">
        <w:rPr>
          <w:szCs w:val="20"/>
        </w:rPr>
        <w:t>The collected data are analyzed using a multiple linear regression model to examine the influence of average years of schooling and provincial minimum wage on HDI, utilizing SPSS version 25. The statistical procedures include the following stages:</w:t>
      </w:r>
    </w:p>
    <w:p w14:paraId="6E728D57" w14:textId="77777777" w:rsidR="00445D2F" w:rsidRPr="00445D2F" w:rsidRDefault="00445D2F" w:rsidP="00445D2F">
      <w:pPr>
        <w:rPr>
          <w:b/>
          <w:bCs/>
          <w:szCs w:val="20"/>
        </w:rPr>
      </w:pPr>
      <w:r w:rsidRPr="00445D2F">
        <w:rPr>
          <w:b/>
          <w:bCs/>
          <w:szCs w:val="20"/>
        </w:rPr>
        <w:t>A. Normality Test</w:t>
      </w:r>
    </w:p>
    <w:p w14:paraId="4A325CB6" w14:textId="751E26FC" w:rsidR="00445D2F" w:rsidRPr="00445D2F" w:rsidRDefault="00445D2F" w:rsidP="00445D2F">
      <w:pPr>
        <w:ind w:firstLine="720"/>
        <w:rPr>
          <w:szCs w:val="20"/>
        </w:rPr>
      </w:pPr>
      <w:r w:rsidRPr="00445D2F">
        <w:rPr>
          <w:szCs w:val="20"/>
        </w:rPr>
        <w:t>The normality test is one of the important stages in statistical analysis which aims to assess whether the data follow a normal distribution. In addition to using statistical tests such as Shapiro-Wilk or Kolmogorov-Smirnov, researchers can also use graphical approaches (visual tests) to see the pattern of data distribution directly. This approach is considered more intuitive and provides a comprehensive picture of the shape of the data distribution, especially when the large sample size causes statistical tests to become too sensitive.</w:t>
      </w:r>
    </w:p>
    <w:p w14:paraId="1471B981" w14:textId="77777777" w:rsidR="00445D2F" w:rsidRDefault="00445D2F" w:rsidP="00445D2F">
      <w:pPr>
        <w:rPr>
          <w:szCs w:val="20"/>
        </w:rPr>
      </w:pPr>
      <w:r w:rsidRPr="00445D2F">
        <w:rPr>
          <w:szCs w:val="20"/>
        </w:rPr>
        <w:fldChar w:fldCharType="begin" w:fldLock="1"/>
      </w:r>
      <w:r w:rsidRPr="00445D2F">
        <w:rPr>
          <w:szCs w:val="20"/>
        </w:rPr>
        <w:instrText>ADDIN CSL_CITATION {"citationItems":[{"id":"ITEM-1","itemData":{"author":[{"dropping-particle":"","family":"Computing","given":"Mathematical","non-dropping-particle":"","parse-names":false,"suffix":""}],"id":"ITEM-1","issued":{"date-parts":[["2008"]]},"title":"I n d i a n a U n i v e r s i t y University Information Technology Services Univariate Analysis and Normality Test Using SAS , Stata ,","type":"article-journal"},"uris":["http://www.mendeley.com/documents/?uuid=12a1747e-2218-4e5a-8566-90f641735617","http://www.mendeley.com/documents/?uuid=b2224c8b-1ae8-40c4-9ec4-26e38d5f6820"]}],"mendeley":{"formattedCitation":"(Computing, 2008)","plainTextFormattedCitation":"(Computing, 2008)","previouslyFormattedCitation":"(Computing, 2008)"},"properties":{"noteIndex":0},"schema":"https://github.com/citation-style-language/schema/raw/master/csl-citation.json"}</w:instrText>
      </w:r>
      <w:r w:rsidRPr="00445D2F">
        <w:rPr>
          <w:szCs w:val="20"/>
        </w:rPr>
        <w:fldChar w:fldCharType="separate"/>
      </w:r>
      <w:r w:rsidRPr="00445D2F">
        <w:rPr>
          <w:noProof/>
          <w:szCs w:val="20"/>
        </w:rPr>
        <w:t>(Computing, 2008)</w:t>
      </w:r>
      <w:r w:rsidRPr="00445D2F">
        <w:rPr>
          <w:szCs w:val="20"/>
        </w:rPr>
        <w:fldChar w:fldCharType="end"/>
      </w:r>
      <w:r w:rsidRPr="00445D2F">
        <w:rPr>
          <w:szCs w:val="20"/>
        </w:rPr>
        <w:t>, the graphical normality test not only shows whether the data are normal or not, but also shows the form of distribution deviations whether the data have excessive skewness or kurtosis.</w:t>
      </w:r>
    </w:p>
    <w:p w14:paraId="6A4D04C0" w14:textId="33514A02" w:rsidR="00445D2F" w:rsidRPr="00445D2F" w:rsidRDefault="00445D2F" w:rsidP="00445D2F">
      <w:pPr>
        <w:ind w:firstLine="720"/>
        <w:rPr>
          <w:szCs w:val="20"/>
        </w:rPr>
      </w:pPr>
      <w:r w:rsidRPr="00445D2F">
        <w:rPr>
          <w:szCs w:val="20"/>
        </w:rPr>
        <w:t>A histogram displays the frequency distribution of the data in the form of vertical bars. Normally distributed data will form a bell-shaped curve that is symmetrical to the mean. If the distribution appears skewed to the left or to the right, or has a peak that is too high or too flat, then it can be concluded that the data are not normally distributed. Although histograms are easy to understand, their interpretation is subjective because it highly depends on the scale of the axis and the number of classes used.</w:t>
      </w:r>
      <w:r>
        <w:rPr>
          <w:szCs w:val="20"/>
        </w:rPr>
        <w:t xml:space="preserve"> </w:t>
      </w:r>
      <w:r w:rsidRPr="00445D2F">
        <w:rPr>
          <w:szCs w:val="20"/>
        </w:rPr>
        <w:t xml:space="preserve">The Normal Q-Q Plot is one of the most widely recommended graphical tools for testing normality. In this graph, the actual data quantiles are compared with the theoretical quantiles of the normal distribution. If the data points follow the diagonal line (reference line), then the data can be said to be normally distributed. However, if there are clear deviations, such as points </w:t>
      </w:r>
      <w:r w:rsidRPr="00445D2F">
        <w:rPr>
          <w:szCs w:val="20"/>
        </w:rPr>
        <w:lastRenderedPageBreak/>
        <w:t>forming a curved pattern or moving away from the diagonal line, then the data indicate abnormality. The advantage of the Q-Q Plot is its ability to show deviations in certain parts of the distribution, for example on the left or right tail.</w:t>
      </w:r>
    </w:p>
    <w:p w14:paraId="27BC1F94" w14:textId="77777777" w:rsidR="00445D2F" w:rsidRPr="00445D2F" w:rsidRDefault="00445D2F" w:rsidP="00445D2F">
      <w:pPr>
        <w:rPr>
          <w:b/>
          <w:bCs/>
          <w:szCs w:val="20"/>
          <w:lang w:val="id-ID"/>
        </w:rPr>
      </w:pPr>
      <w:r w:rsidRPr="00445D2F">
        <w:rPr>
          <w:b/>
          <w:bCs/>
          <w:szCs w:val="20"/>
          <w:lang w:val="en-GB"/>
        </w:rPr>
        <w:t xml:space="preserve">B. </w:t>
      </w:r>
      <w:r w:rsidRPr="00445D2F">
        <w:rPr>
          <w:b/>
          <w:bCs/>
          <w:szCs w:val="20"/>
          <w:lang w:val="id-ID"/>
        </w:rPr>
        <w:t>Classical Assumption Test</w:t>
      </w:r>
    </w:p>
    <w:p w14:paraId="5FA197F0" w14:textId="5090EAD2" w:rsidR="00445D2F" w:rsidRPr="00445D2F" w:rsidRDefault="00445D2F" w:rsidP="00445D2F">
      <w:pPr>
        <w:ind w:firstLine="720"/>
        <w:rPr>
          <w:szCs w:val="20"/>
        </w:rPr>
      </w:pPr>
      <w:r w:rsidRPr="00445D2F">
        <w:rPr>
          <w:szCs w:val="20"/>
          <w:lang w:val="id-ID"/>
        </w:rPr>
        <w:t xml:space="preserve">The Classical Assumption Test is a series of prerequisite statistical tests that must be met in multiple linear regression analysis using the Ordinary Least Squares (OLS) method, aiming to ensure that the resulting model is the Best Linear Unbiased Estimator (BLUE), which means the model is efficient, unbiased, and consistent </w:t>
      </w:r>
      <w:r w:rsidRPr="00445D2F">
        <w:rPr>
          <w:szCs w:val="20"/>
          <w:lang w:val="id-ID"/>
        </w:rPr>
        <w:fldChar w:fldCharType="begin" w:fldLock="1"/>
      </w:r>
      <w:r w:rsidRPr="00445D2F">
        <w:rPr>
          <w:szCs w:val="20"/>
          <w:lang w:val="id-ID"/>
        </w:rPr>
        <w:instrText>ADDIN CSL_CITATION {"citationItems":[{"id":"ITEM-1","itemData":{"id":"ITEM-1","issued":{"date-parts":[["1994"]]},"title":"Uji asumsi klasik","type":"article-journal"},"uris":["http://www.mendeley.com/documents/?uuid=bae07df4-811d-46af-96b7-3b25873d6d43","http://www.mendeley.com/documents/?uuid=103d4c2b-a65d-4c6d-acea-b581cc0eb00d"]}],"mendeley":{"formattedCitation":"(&lt;i&gt;Uji Asumsi Klasik&lt;/i&gt;, 1994)","plainTextFormattedCitation":"(Uji Asumsi Klasik, 1994)","previouslyFormattedCitation":"(&lt;i&gt;Uji Asumsi Klasik&lt;/i&gt;, 1994)"},"properties":{"noteIndex":0},"schema":"https://github.com/citation-style-language/schema/raw/master/csl-citation.json"}</w:instrText>
      </w:r>
      <w:r w:rsidRPr="00445D2F">
        <w:rPr>
          <w:szCs w:val="20"/>
          <w:lang w:val="id-ID"/>
        </w:rPr>
        <w:fldChar w:fldCharType="separate"/>
      </w:r>
      <w:r w:rsidRPr="00445D2F">
        <w:rPr>
          <w:noProof/>
          <w:szCs w:val="20"/>
          <w:lang w:val="id-ID"/>
        </w:rPr>
        <w:t>(</w:t>
      </w:r>
      <w:r w:rsidRPr="00445D2F">
        <w:rPr>
          <w:i/>
          <w:noProof/>
          <w:szCs w:val="20"/>
          <w:lang w:val="id-ID"/>
        </w:rPr>
        <w:t>Uji Asumsi Klasik</w:t>
      </w:r>
      <w:r w:rsidRPr="00445D2F">
        <w:rPr>
          <w:noProof/>
          <w:szCs w:val="20"/>
          <w:lang w:val="id-ID"/>
        </w:rPr>
        <w:t>, 1994)</w:t>
      </w:r>
      <w:r w:rsidRPr="00445D2F">
        <w:rPr>
          <w:szCs w:val="20"/>
          <w:lang w:val="id-ID"/>
        </w:rPr>
        <w:fldChar w:fldCharType="end"/>
      </w:r>
      <w:r w:rsidRPr="00445D2F">
        <w:rPr>
          <w:szCs w:val="20"/>
          <w:lang w:val="id-ID"/>
        </w:rPr>
        <w:t>. There are three main assumptions that must be tested on the residual values of the model:</w:t>
      </w:r>
    </w:p>
    <w:p w14:paraId="554EB611" w14:textId="77777777" w:rsidR="00445D2F" w:rsidRPr="00445D2F" w:rsidRDefault="00445D2F" w:rsidP="00445D2F">
      <w:pPr>
        <w:rPr>
          <w:szCs w:val="20"/>
          <w:lang w:val="id-ID"/>
        </w:rPr>
      </w:pPr>
      <w:r w:rsidRPr="00445D2F">
        <w:rPr>
          <w:b/>
          <w:bCs/>
          <w:szCs w:val="20"/>
          <w:lang w:val="id-ID"/>
        </w:rPr>
        <w:t xml:space="preserve">Multicollinearity Test </w:t>
      </w:r>
    </w:p>
    <w:p w14:paraId="47AB88E3" w14:textId="77777777" w:rsidR="00445D2F" w:rsidRPr="00445D2F" w:rsidRDefault="00445D2F" w:rsidP="00445D2F">
      <w:pPr>
        <w:ind w:firstLine="720"/>
        <w:rPr>
          <w:szCs w:val="20"/>
          <w:lang w:val="id-ID"/>
        </w:rPr>
      </w:pPr>
      <w:r w:rsidRPr="00445D2F">
        <w:rPr>
          <w:szCs w:val="20"/>
          <w:lang w:val="id-ID"/>
        </w:rPr>
        <w:t xml:space="preserve">The Multicollinearity Test is an important part of the Classical Assumption Test which aims to ensure that there is no correlation or perfect or very high linear relationship among the independent variables (X) in the regression model </w:t>
      </w:r>
      <w:r w:rsidRPr="00445D2F">
        <w:rPr>
          <w:szCs w:val="20"/>
          <w:lang w:val="id-ID"/>
        </w:rPr>
        <w:fldChar w:fldCharType="begin" w:fldLock="1"/>
      </w:r>
      <w:r w:rsidRPr="00445D2F">
        <w:rPr>
          <w:szCs w:val="20"/>
          <w:lang w:val="id-ID"/>
        </w:rPr>
        <w:instrText>ADDIN CSL_CITATION {"citationItems":[{"id":"ITEM-1","itemData":{"author":[{"dropping-particle":"","family":"Kafle","given":"Sarad Chandra","non-dropping-particle":"","parse-names":false,"suffix":""}],"id":"ITEM-1","issued":{"date-parts":[["2014"]]},"page":"126-132","title":"Correlation and Regression Analysis Using SPSS","type":"article-journal"},"uris":["http://www.mendeley.com/documents/?uuid=934e96fc-03fb-44bb-99a6-033f471bd2da","http://www.mendeley.com/documents/?uuid=e10d5e84-567f-4719-9545-0f3d57ac6079"]}],"mendeley":{"formattedCitation":"(Kafle, 2014)","plainTextFormattedCitation":"(Kafle, 2014)","previouslyFormattedCitation":"(Kafle, 2014)"},"properties":{"noteIndex":0},"schema":"https://github.com/citation-style-language/schema/raw/master/csl-citation.json"}</w:instrText>
      </w:r>
      <w:r w:rsidRPr="00445D2F">
        <w:rPr>
          <w:szCs w:val="20"/>
          <w:lang w:val="id-ID"/>
        </w:rPr>
        <w:fldChar w:fldCharType="separate"/>
      </w:r>
      <w:r w:rsidRPr="00445D2F">
        <w:rPr>
          <w:noProof/>
          <w:szCs w:val="20"/>
          <w:lang w:val="id-ID"/>
        </w:rPr>
        <w:t>(Kafle, 2014)</w:t>
      </w:r>
      <w:r w:rsidRPr="00445D2F">
        <w:rPr>
          <w:szCs w:val="20"/>
          <w:lang w:val="id-ID"/>
        </w:rPr>
        <w:fldChar w:fldCharType="end"/>
      </w:r>
      <w:r w:rsidRPr="00445D2F">
        <w:rPr>
          <w:szCs w:val="20"/>
          <w:lang w:val="id-ID"/>
        </w:rPr>
        <w:t xml:space="preserve">. A model is declared free from multicollinearity if the VIF value does not exceed 10 and the Tolerance value is greater than 0.10 </w:t>
      </w:r>
      <w:r w:rsidRPr="00445D2F">
        <w:rPr>
          <w:szCs w:val="20"/>
          <w:lang w:val="id-ID"/>
        </w:rPr>
        <w:fldChar w:fldCharType="begin" w:fldLock="1"/>
      </w:r>
      <w:r w:rsidRPr="00445D2F">
        <w:rPr>
          <w:szCs w:val="20"/>
          <w:lang w:val="id-ID"/>
        </w:rPr>
        <w:instrText>ADDIN CSL_CITATION {"citationItems":[{"id":"ITEM-1","itemData":{"id":"ITEM-1","issued":{"date-parts":[["1994"]]},"title":"Uji asumsi klasik","type":"article-journal"},"uris":["http://www.mendeley.com/documents/?uuid=103d4c2b-a65d-4c6d-acea-b581cc0eb00d","http://www.mendeley.com/documents/?uuid=bae07df4-811d-46af-96b7-3b25873d6d43"]}],"mendeley":{"formattedCitation":"(&lt;i&gt;Uji Asumsi Klasik&lt;/i&gt;, 1994)","plainTextFormattedCitation":"(Uji Asumsi Klasik, 1994)","previouslyFormattedCitation":"(&lt;i&gt;Uji Asumsi Klasik&lt;/i&gt;, 1994)"},"properties":{"noteIndex":0},"schema":"https://github.com/citation-style-language/schema/raw/master/csl-citation.json"}</w:instrText>
      </w:r>
      <w:r w:rsidRPr="00445D2F">
        <w:rPr>
          <w:szCs w:val="20"/>
          <w:lang w:val="id-ID"/>
        </w:rPr>
        <w:fldChar w:fldCharType="separate"/>
      </w:r>
      <w:r w:rsidRPr="00445D2F">
        <w:rPr>
          <w:noProof/>
          <w:szCs w:val="20"/>
          <w:lang w:val="id-ID"/>
        </w:rPr>
        <w:t>(</w:t>
      </w:r>
      <w:r w:rsidRPr="00445D2F">
        <w:rPr>
          <w:i/>
          <w:noProof/>
          <w:szCs w:val="20"/>
          <w:lang w:val="id-ID"/>
        </w:rPr>
        <w:t>Uji Asumsi Klasik</w:t>
      </w:r>
      <w:r w:rsidRPr="00445D2F">
        <w:rPr>
          <w:noProof/>
          <w:szCs w:val="20"/>
          <w:lang w:val="id-ID"/>
        </w:rPr>
        <w:t>, 1994)</w:t>
      </w:r>
      <w:r w:rsidRPr="00445D2F">
        <w:rPr>
          <w:szCs w:val="20"/>
          <w:lang w:val="id-ID"/>
        </w:rPr>
        <w:fldChar w:fldCharType="end"/>
      </w:r>
      <w:r w:rsidRPr="00445D2F">
        <w:rPr>
          <w:szCs w:val="20"/>
          <w:lang w:val="id-ID"/>
        </w:rPr>
        <w:t>. Ensuring the model is free from multicollinearity is very important so that the regression coefficients of the Average Length of Schooling and Provincial Minimum Wage can be interpreted independently.</w:t>
      </w:r>
    </w:p>
    <w:p w14:paraId="1AAF36B9" w14:textId="77777777" w:rsidR="00445D2F" w:rsidRPr="00445D2F" w:rsidRDefault="00445D2F" w:rsidP="00445D2F">
      <w:pPr>
        <w:rPr>
          <w:b/>
          <w:bCs/>
          <w:szCs w:val="20"/>
          <w:lang w:val="id-ID"/>
        </w:rPr>
      </w:pPr>
      <w:r w:rsidRPr="00445D2F">
        <w:rPr>
          <w:b/>
          <w:bCs/>
          <w:szCs w:val="20"/>
          <w:lang w:val="id-ID"/>
        </w:rPr>
        <w:t xml:space="preserve">Heteroscedasticity Test </w:t>
      </w:r>
    </w:p>
    <w:p w14:paraId="4ED30AE8" w14:textId="77777777" w:rsidR="00445D2F" w:rsidRPr="00445D2F" w:rsidRDefault="00445D2F" w:rsidP="00445D2F">
      <w:pPr>
        <w:ind w:firstLine="720"/>
        <w:rPr>
          <w:szCs w:val="20"/>
          <w:lang w:val="id-ID"/>
        </w:rPr>
      </w:pPr>
      <w:r w:rsidRPr="00445D2F">
        <w:rPr>
          <w:szCs w:val="20"/>
          <w:lang w:val="id-ID"/>
        </w:rPr>
        <w:t>The Heteroscedasticity Test is a classical assumption that examines whether there is equality of residual variance (ε) from one observation to another in the regression model. The main purpose of this test is to ensure that residual variance is constant for each level of independent variables, a condition known as Homoscedasticity</w:t>
      </w:r>
      <w:r w:rsidRPr="00445D2F">
        <w:rPr>
          <w:szCs w:val="20"/>
          <w:lang w:val="id-ID"/>
        </w:rPr>
        <w:fldChar w:fldCharType="begin" w:fldLock="1"/>
      </w:r>
      <w:r w:rsidRPr="00445D2F">
        <w:rPr>
          <w:szCs w:val="20"/>
          <w:lang w:val="id-ID"/>
        </w:rPr>
        <w:instrText>ADDIN CSL_CITATION {"citationItems":[{"id":"ITEM-1","itemData":{"id":"ITEM-1","issued":{"date-parts":[["1994"]]},"title":"Uji asumsi klasik","type":"article-journal"},"uris":["http://www.mendeley.com/documents/?uuid=103d4c2b-a65d-4c6d-acea-b581cc0eb00d","http://www.mendeley.com/documents/?uuid=bae07df4-811d-46af-96b7-3b25873d6d43"]}],"mendeley":{"formattedCitation":"(&lt;i&gt;Uji Asumsi Klasik&lt;/i&gt;, 1994)","plainTextFormattedCitation":"(Uji Asumsi Klasik, 1994)","previouslyFormattedCitation":"(&lt;i&gt;Uji Asumsi Klasik&lt;/i&gt;, 1994)"},"properties":{"noteIndex":0},"schema":"https://github.com/citation-style-language/schema/raw/master/csl-citation.json"}</w:instrText>
      </w:r>
      <w:r w:rsidRPr="00445D2F">
        <w:rPr>
          <w:szCs w:val="20"/>
          <w:lang w:val="id-ID"/>
        </w:rPr>
        <w:fldChar w:fldCharType="separate"/>
      </w:r>
      <w:r w:rsidRPr="00445D2F">
        <w:rPr>
          <w:noProof/>
          <w:szCs w:val="20"/>
          <w:lang w:val="id-ID"/>
        </w:rPr>
        <w:t>(</w:t>
      </w:r>
      <w:r w:rsidRPr="00445D2F">
        <w:rPr>
          <w:i/>
          <w:noProof/>
          <w:szCs w:val="20"/>
          <w:lang w:val="id-ID"/>
        </w:rPr>
        <w:t>Uji Asumsi Klasik</w:t>
      </w:r>
      <w:r w:rsidRPr="00445D2F">
        <w:rPr>
          <w:noProof/>
          <w:szCs w:val="20"/>
          <w:lang w:val="id-ID"/>
        </w:rPr>
        <w:t>, 1994)</w:t>
      </w:r>
      <w:r w:rsidRPr="00445D2F">
        <w:rPr>
          <w:szCs w:val="20"/>
          <w:lang w:val="id-ID"/>
        </w:rPr>
        <w:fldChar w:fldCharType="end"/>
      </w:r>
      <w:r w:rsidRPr="00445D2F">
        <w:rPr>
          <w:szCs w:val="20"/>
          <w:lang w:val="id-ID"/>
        </w:rPr>
        <w:t>.</w:t>
      </w:r>
    </w:p>
    <w:p w14:paraId="11564CDC" w14:textId="77777777" w:rsidR="00445D2F" w:rsidRPr="00445D2F" w:rsidRDefault="00445D2F" w:rsidP="00445D2F">
      <w:pPr>
        <w:rPr>
          <w:szCs w:val="20"/>
          <w:lang w:val="id-ID"/>
        </w:rPr>
      </w:pPr>
      <w:r w:rsidRPr="00445D2F">
        <w:rPr>
          <w:b/>
          <w:bCs/>
          <w:szCs w:val="20"/>
          <w:lang w:val="id-ID"/>
        </w:rPr>
        <w:t>Autocorrelation Test</w:t>
      </w:r>
    </w:p>
    <w:p w14:paraId="4CC719A0" w14:textId="628D47B0" w:rsidR="00445D2F" w:rsidRPr="00445D2F" w:rsidRDefault="00445D2F" w:rsidP="00445D2F">
      <w:pPr>
        <w:ind w:firstLine="720"/>
        <w:rPr>
          <w:b/>
          <w:bCs/>
          <w:szCs w:val="20"/>
        </w:rPr>
      </w:pPr>
      <w:r w:rsidRPr="00445D2F">
        <w:rPr>
          <w:szCs w:val="20"/>
        </w:rPr>
        <w:t>If autocorrelation occurs, the regression coefficient estimation remains unbiased, but the standard error becomes inefficient (biased), which may cause the t-test results to become invalid. The most popular testing method to detect autocorrelation is the Durbin-Watson Test (DW Test).</w:t>
      </w:r>
    </w:p>
    <w:p w14:paraId="0D2EF6AE" w14:textId="77777777" w:rsidR="00445D2F" w:rsidRPr="00445D2F" w:rsidRDefault="00445D2F" w:rsidP="00445D2F">
      <w:pPr>
        <w:rPr>
          <w:b/>
          <w:bCs/>
          <w:szCs w:val="20"/>
          <w:lang w:val="en-ID"/>
        </w:rPr>
      </w:pPr>
      <w:r w:rsidRPr="00445D2F">
        <w:rPr>
          <w:b/>
          <w:bCs/>
          <w:szCs w:val="20"/>
          <w:lang w:val="en-ID"/>
        </w:rPr>
        <w:t>C. Hypothesis Testing and Coefficient of Determination</w:t>
      </w:r>
    </w:p>
    <w:p w14:paraId="494683CC" w14:textId="61041D20" w:rsidR="00445D2F" w:rsidRPr="00445D2F" w:rsidRDefault="00445D2F" w:rsidP="00445D2F">
      <w:pPr>
        <w:rPr>
          <w:szCs w:val="20"/>
          <w:lang w:val="en-ID"/>
        </w:rPr>
      </w:pPr>
      <w:r w:rsidRPr="00445D2F">
        <w:rPr>
          <w:szCs w:val="20"/>
          <w:lang w:val="en-ID"/>
        </w:rPr>
        <w:t>The statistical tests used after the classical assumption has been fulfilled are:</w:t>
      </w:r>
    </w:p>
    <w:p w14:paraId="313B1588" w14:textId="61F3A677" w:rsidR="00445D2F" w:rsidRPr="00445D2F" w:rsidRDefault="00445D2F" w:rsidP="00445D2F">
      <w:pPr>
        <w:rPr>
          <w:szCs w:val="20"/>
          <w:lang w:val="en-ID"/>
        </w:rPr>
      </w:pPr>
      <w:r w:rsidRPr="00445D2F">
        <w:rPr>
          <w:b/>
          <w:bCs/>
          <w:szCs w:val="20"/>
          <w:lang w:val="en-ID"/>
        </w:rPr>
        <w:t>F-Test (Simultaneous)</w:t>
      </w:r>
    </w:p>
    <w:p w14:paraId="42B5D5E0" w14:textId="77777777" w:rsidR="00445D2F" w:rsidRPr="00445D2F" w:rsidRDefault="00445D2F" w:rsidP="00445D2F">
      <w:pPr>
        <w:ind w:firstLine="720"/>
        <w:rPr>
          <w:szCs w:val="20"/>
          <w:lang w:val="en-ID"/>
        </w:rPr>
      </w:pPr>
      <w:r w:rsidRPr="00445D2F">
        <w:rPr>
          <w:szCs w:val="20"/>
          <w:lang w:val="en"/>
        </w:rPr>
        <w:t xml:space="preserve">Overall Significance Test, is a statistical procedure used to determine whether all independent variables (X) entered into the regression model simultaneously have a significant influence on the dependent variable (Y) </w:t>
      </w:r>
      <w:r w:rsidRPr="00445D2F">
        <w:rPr>
          <w:szCs w:val="20"/>
          <w:lang w:val="en"/>
        </w:rPr>
        <w:fldChar w:fldCharType="begin" w:fldLock="1"/>
      </w:r>
      <w:r w:rsidRPr="00445D2F">
        <w:rPr>
          <w:szCs w:val="20"/>
          <w:lang w:val="en"/>
        </w:rPr>
        <w:instrText>ADDIN CSL_CITATION {"citationItems":[{"id":"ITEM-1","itemData":{"author":[{"dropping-particle":"","family":"Kafle","given":"Sarad Chandra","non-dropping-particle":"","parse-names":false,"suffix":""}],"id":"ITEM-1","issued":{"date-parts":[["2014"]]},"page":"126-132","title":"Correlation and Regression Analysis Using SPSS","type":"article-journal"},"uris":["http://www.mendeley.com/documents/?uuid=e10d5e84-567f-4719-9545-0f3d57ac6079","http://www.mendeley.com/documents/?uuid=934e96fc-03fb-44bb-99a6-033f471bd2da"]}],"mendeley":{"formattedCitation":"(Kafle, 2014)","plainTextFormattedCitation":"(Kafle, 2014)","previouslyFormattedCitation":"(Kafle, 2014)"},"properties":{"noteIndex":0},"schema":"https://github.com/citation-style-language/schema/raw/master/csl-citation.json"}</w:instrText>
      </w:r>
      <w:r w:rsidRPr="00445D2F">
        <w:rPr>
          <w:szCs w:val="20"/>
          <w:lang w:val="en"/>
        </w:rPr>
        <w:fldChar w:fldCharType="separate"/>
      </w:r>
      <w:r w:rsidRPr="00445D2F">
        <w:rPr>
          <w:noProof/>
          <w:szCs w:val="20"/>
          <w:lang w:val="en"/>
        </w:rPr>
        <w:t>(Kafle, 2014)</w:t>
      </w:r>
      <w:r w:rsidRPr="00445D2F">
        <w:rPr>
          <w:szCs w:val="20"/>
          <w:lang w:val="en"/>
        </w:rPr>
        <w:fldChar w:fldCharType="end"/>
      </w:r>
      <w:r w:rsidRPr="00445D2F">
        <w:rPr>
          <w:szCs w:val="20"/>
          <w:lang w:val="en"/>
        </w:rPr>
        <w:t>. To test whether the AYS and PMW variables jointly affect the HDI. The hypothesis is accepted if the Sig. F Test value is &lt;0.05. The Classical Assumption Test is a series of prerequisite statistical tests that must be met in multiple linear regression analysis using the Ordinary Least Squares (OLS) method, aimed at ensuring that the resulting model is the Best Linear Unbiased Estimator (BLUE), which means the model is efficient, unbiased, and consistent. There are three main assumptions that must be tested on the residual value of the model.</w:t>
      </w:r>
    </w:p>
    <w:p w14:paraId="54DAD98D" w14:textId="5B4608D5" w:rsidR="00445D2F" w:rsidRPr="00445D2F" w:rsidRDefault="00445D2F" w:rsidP="00445D2F">
      <w:pPr>
        <w:rPr>
          <w:szCs w:val="20"/>
          <w:lang w:val="en-ID"/>
        </w:rPr>
      </w:pPr>
      <w:r w:rsidRPr="00445D2F">
        <w:rPr>
          <w:b/>
          <w:bCs/>
          <w:szCs w:val="20"/>
          <w:lang w:val="en-ID"/>
        </w:rPr>
        <w:t>t-Test (Partial)</w:t>
      </w:r>
    </w:p>
    <w:p w14:paraId="6AD8D4A1" w14:textId="77777777" w:rsidR="00445D2F" w:rsidRPr="00445D2F" w:rsidRDefault="00445D2F" w:rsidP="00445D2F">
      <w:pPr>
        <w:rPr>
          <w:szCs w:val="20"/>
          <w:lang w:val="en-ID"/>
        </w:rPr>
      </w:pPr>
      <w:r w:rsidRPr="00445D2F">
        <w:rPr>
          <w:szCs w:val="20"/>
          <w:lang w:val="en-ID"/>
        </w:rPr>
        <w:tab/>
      </w:r>
      <w:r w:rsidRPr="00445D2F">
        <w:rPr>
          <w:szCs w:val="20"/>
          <w:lang w:val="en"/>
        </w:rPr>
        <w:t xml:space="preserve">Decision making is done by comparing the values ​​with the values ​​at a certain level of significance (α, generally 5% or 0.05) and the appropriate degrees of freedom. Alternatively, decisions can be made by looking at the probability value (Sig.), where if the Sig. value is less than 0.05, then it is rejected and concluded that the independent variable has a significant partial influence on the dependent variable </w:t>
      </w:r>
      <w:r w:rsidRPr="00445D2F">
        <w:rPr>
          <w:szCs w:val="20"/>
          <w:lang w:val="en"/>
        </w:rPr>
        <w:fldChar w:fldCharType="begin" w:fldLock="1"/>
      </w:r>
      <w:r w:rsidRPr="00445D2F">
        <w:rPr>
          <w:szCs w:val="20"/>
          <w:lang w:val="en"/>
        </w:rPr>
        <w:instrText>ADDIN CSL_CITATION {"citationItems":[{"id":"ITEM-1","itemData":{"id":"ITEM-1","issued":{"date-parts":[["1994"]]},"title":"Uji asumsi klasik","type":"article-journal"},"uris":["http://www.mendeley.com/documents/?uuid=103d4c2b-a65d-4c6d-acea-b581cc0eb00d","http://www.mendeley.com/documents/?uuid=bae07df4-811d-46af-96b7-3b25873d6d43"]}],"mendeley":{"formattedCitation":"(&lt;i&gt;Uji Asumsi Klasik&lt;/i&gt;, 1994)","plainTextFormattedCitation":"(Uji Asumsi Klasik, 1994)","previouslyFormattedCitation":"(&lt;i&gt;Uji Asumsi Klasik&lt;/i&gt;, 1994)"},"properties":{"noteIndex":0},"schema":"https://github.com/citation-style-language/schema/raw/master/csl-citation.json"}</w:instrText>
      </w:r>
      <w:r w:rsidRPr="00445D2F">
        <w:rPr>
          <w:szCs w:val="20"/>
          <w:lang w:val="en"/>
        </w:rPr>
        <w:fldChar w:fldCharType="separate"/>
      </w:r>
      <w:r w:rsidRPr="00445D2F">
        <w:rPr>
          <w:noProof/>
          <w:szCs w:val="20"/>
          <w:lang w:val="en"/>
        </w:rPr>
        <w:t>(</w:t>
      </w:r>
      <w:r w:rsidRPr="00445D2F">
        <w:rPr>
          <w:i/>
          <w:noProof/>
          <w:szCs w:val="20"/>
          <w:lang w:val="en"/>
        </w:rPr>
        <w:t>Uji Asumsi Klasik</w:t>
      </w:r>
      <w:r w:rsidRPr="00445D2F">
        <w:rPr>
          <w:noProof/>
          <w:szCs w:val="20"/>
          <w:lang w:val="en"/>
        </w:rPr>
        <w:t>, 1994)</w:t>
      </w:r>
      <w:r w:rsidRPr="00445D2F">
        <w:rPr>
          <w:szCs w:val="20"/>
          <w:lang w:val="en"/>
        </w:rPr>
        <w:fldChar w:fldCharType="end"/>
      </w:r>
      <w:r w:rsidRPr="00445D2F">
        <w:rPr>
          <w:szCs w:val="20"/>
          <w:lang w:val="en"/>
        </w:rPr>
        <w:t>. To test whether each variable (AYS and PMW) individually affects the HDI. The hypothesis is accepted if the Sig. value of the t test &lt;0.05.</w:t>
      </w:r>
    </w:p>
    <w:p w14:paraId="1B621F99" w14:textId="77777777" w:rsidR="00445D2F" w:rsidRPr="00445D2F" w:rsidRDefault="00445D2F" w:rsidP="00445D2F">
      <w:pPr>
        <w:rPr>
          <w:b/>
          <w:bCs/>
          <w:szCs w:val="20"/>
          <w:lang w:val="en-ID"/>
        </w:rPr>
      </w:pPr>
      <w:r w:rsidRPr="00445D2F">
        <w:rPr>
          <w:b/>
          <w:bCs/>
          <w:szCs w:val="20"/>
          <w:lang w:val="en"/>
        </w:rPr>
        <w:lastRenderedPageBreak/>
        <w:t>Correlation Test (r)</w:t>
      </w:r>
    </w:p>
    <w:p w14:paraId="1E62F4D8" w14:textId="77777777" w:rsidR="00445D2F" w:rsidRPr="00445D2F" w:rsidRDefault="00445D2F" w:rsidP="00445D2F">
      <w:pPr>
        <w:rPr>
          <w:szCs w:val="20"/>
          <w:lang w:val="en-ID"/>
        </w:rPr>
      </w:pPr>
      <w:r w:rsidRPr="00445D2F">
        <w:rPr>
          <w:b/>
          <w:bCs/>
          <w:szCs w:val="20"/>
          <w:lang w:val="en-ID"/>
        </w:rPr>
        <w:tab/>
      </w:r>
      <w:r w:rsidRPr="00445D2F">
        <w:rPr>
          <w:szCs w:val="20"/>
          <w:lang w:val="en"/>
        </w:rPr>
        <w:t>This test provides an r coefficient value ranging from -1 to +1. An r value approaching +1 indicates a strong positive correlation (variables move in the same direction), an r value approaching -1 indicates a strong negative correlation (variables move in opposite directions), while an r value approaching 0 indicates a very weak correlation or no linear correlation. Used to measure the strength and direction of the partial linear relationship between each independent variable and the dependent variable.</w:t>
      </w:r>
    </w:p>
    <w:p w14:paraId="5557C827" w14:textId="77777777" w:rsidR="00445D2F" w:rsidRPr="00445D2F" w:rsidRDefault="00445D2F" w:rsidP="00445D2F">
      <w:pPr>
        <w:rPr>
          <w:b/>
          <w:bCs/>
          <w:szCs w:val="20"/>
          <w:lang w:val="en-ID"/>
        </w:rPr>
      </w:pPr>
      <w:r w:rsidRPr="00445D2F">
        <w:rPr>
          <w:b/>
          <w:bCs/>
          <w:szCs w:val="20"/>
          <w:lang w:val="en"/>
        </w:rPr>
        <w:t>Coefficient of Determination Test</w:t>
      </w:r>
      <w:r w:rsidRPr="00445D2F">
        <w:rPr>
          <w:b/>
          <w:bCs/>
          <w:szCs w:val="20"/>
          <w:lang w:val="en-ID"/>
        </w:rPr>
        <w:t xml:space="preserve"> (</w:t>
      </w:r>
      <m:oMath>
        <m:sSup>
          <m:sSupPr>
            <m:ctrlPr>
              <w:rPr>
                <w:rFonts w:ascii="Cambria Math" w:hAnsi="Cambria Math"/>
                <w:b/>
                <w:bCs/>
                <w:i/>
                <w:szCs w:val="20"/>
                <w:lang w:val="en-ID"/>
              </w:rPr>
            </m:ctrlPr>
          </m:sSupPr>
          <m:e>
            <m:r>
              <m:rPr>
                <m:sty m:val="bi"/>
              </m:rPr>
              <w:rPr>
                <w:rFonts w:ascii="Cambria Math" w:hAnsi="Cambria Math"/>
                <w:szCs w:val="20"/>
                <w:lang w:val="en-ID"/>
              </w:rPr>
              <m:t>R</m:t>
            </m:r>
          </m:e>
          <m:sup>
            <m:r>
              <m:rPr>
                <m:sty m:val="bi"/>
              </m:rPr>
              <w:rPr>
                <w:rFonts w:ascii="Cambria Math" w:hAnsi="Cambria Math"/>
                <w:szCs w:val="20"/>
                <w:lang w:val="en-ID"/>
              </w:rPr>
              <m:t>2</m:t>
            </m:r>
          </m:sup>
        </m:sSup>
        <m:r>
          <m:rPr>
            <m:sty m:val="bi"/>
          </m:rPr>
          <w:rPr>
            <w:rFonts w:ascii="Cambria Math" w:hAnsi="Cambria Math"/>
            <w:szCs w:val="20"/>
            <w:lang w:val="en-ID"/>
          </w:rPr>
          <m:t>)</m:t>
        </m:r>
      </m:oMath>
    </w:p>
    <w:p w14:paraId="23A65729" w14:textId="77777777" w:rsidR="00445D2F" w:rsidRPr="00445D2F" w:rsidRDefault="00445D2F" w:rsidP="00445D2F">
      <w:pPr>
        <w:rPr>
          <w:szCs w:val="20"/>
        </w:rPr>
      </w:pPr>
      <w:r w:rsidRPr="00445D2F">
        <w:rPr>
          <w:b/>
          <w:bCs/>
          <w:szCs w:val="20"/>
          <w:lang w:val="en-ID"/>
        </w:rPr>
        <w:tab/>
      </w:r>
      <w:r w:rsidRPr="00445D2F">
        <w:rPr>
          <w:szCs w:val="20"/>
        </w:rPr>
        <w:t>Values ​​range from 0 to 1. Values ​​close to 1 (or 100%) indicate that the model has excellent predictive ability, as almost all of the variation in Y can be explained by the model. Conversely, values ​​close to 0 mean that the variation in the dependent variable can barely be explained by the independent variables used. To measure how much of the total variation in the HDI variable can be explained by variations in AYS and PMW.</w:t>
      </w:r>
    </w:p>
    <w:p w14:paraId="76EEFA99" w14:textId="77777777" w:rsidR="00445D2F" w:rsidRPr="00445D2F" w:rsidRDefault="00445D2F" w:rsidP="00445D2F">
      <w:pPr>
        <w:rPr>
          <w:b/>
          <w:bCs/>
          <w:szCs w:val="20"/>
          <w:lang w:val="en-ID"/>
        </w:rPr>
      </w:pPr>
      <w:r w:rsidRPr="00445D2F">
        <w:rPr>
          <w:b/>
          <w:bCs/>
          <w:szCs w:val="20"/>
          <w:lang w:val="en"/>
        </w:rPr>
        <w:t>D. Regression Analysis Model</w:t>
      </w:r>
    </w:p>
    <w:p w14:paraId="4910A5EF" w14:textId="77777777" w:rsidR="00445D2F" w:rsidRPr="00445D2F" w:rsidRDefault="00445D2F" w:rsidP="00445D2F">
      <w:pPr>
        <w:ind w:firstLine="720"/>
        <w:rPr>
          <w:szCs w:val="20"/>
          <w:lang w:val="en-ID"/>
        </w:rPr>
      </w:pPr>
      <w:r w:rsidRPr="00445D2F">
        <w:rPr>
          <w:szCs w:val="20"/>
          <w:lang w:val="en"/>
        </w:rPr>
        <w:t xml:space="preserve">The theoretical basis and formulation of the statistical test refer to </w:t>
      </w:r>
      <w:proofErr w:type="spellStart"/>
      <w:r w:rsidRPr="00445D2F">
        <w:rPr>
          <w:szCs w:val="20"/>
          <w:lang w:val="en"/>
        </w:rPr>
        <w:t>Ghozali</w:t>
      </w:r>
      <w:proofErr w:type="spellEnd"/>
      <w:r w:rsidRPr="00445D2F">
        <w:rPr>
          <w:szCs w:val="20"/>
          <w:lang w:val="en"/>
        </w:rPr>
        <w:t xml:space="preserve"> </w:t>
      </w:r>
      <w:r w:rsidRPr="00445D2F">
        <w:rPr>
          <w:szCs w:val="20"/>
          <w:lang w:val="en"/>
        </w:rPr>
        <w:fldChar w:fldCharType="begin" w:fldLock="1"/>
      </w:r>
      <w:r w:rsidRPr="00445D2F">
        <w:rPr>
          <w:szCs w:val="20"/>
          <w:lang w:val="en"/>
        </w:rPr>
        <w:instrText>ADDIN CSL_CITATION {"citationItems":[{"id":"ITEM-1","itemData":{"author":[{"dropping-particle":"","family":"Kafle","given":"Sarad Chandra","non-dropping-particle":"","parse-names":false,"suffix":""}],"id":"ITEM-1","issued":{"date-parts":[["2014"]]},"page":"126-132","title":"Correlation and Regression Analysis Using SPSS","type":"article-journal"},"uris":["http://www.mendeley.com/documents/?uuid=e10d5e84-567f-4719-9545-0f3d57ac6079","http://www.mendeley.com/documents/?uuid=934e96fc-03fb-44bb-99a6-033f471bd2da"]}],"mendeley":{"formattedCitation":"(Kafle, 2014)","plainTextFormattedCitation":"(Kafle, 2014)","previouslyFormattedCitation":"(Kafle, 2014)"},"properties":{"noteIndex":0},"schema":"https://github.com/citation-style-language/schema/raw/master/csl-citation.json"}</w:instrText>
      </w:r>
      <w:r w:rsidRPr="00445D2F">
        <w:rPr>
          <w:szCs w:val="20"/>
          <w:lang w:val="en"/>
        </w:rPr>
        <w:fldChar w:fldCharType="separate"/>
      </w:r>
      <w:r w:rsidRPr="00445D2F">
        <w:rPr>
          <w:noProof/>
          <w:szCs w:val="20"/>
          <w:lang w:val="en"/>
        </w:rPr>
        <w:t>(Kafle, 2014)</w:t>
      </w:r>
      <w:r w:rsidRPr="00445D2F">
        <w:rPr>
          <w:szCs w:val="20"/>
          <w:lang w:val="en"/>
        </w:rPr>
        <w:fldChar w:fldCharType="end"/>
      </w:r>
      <w:r w:rsidRPr="00445D2F">
        <w:rPr>
          <w:szCs w:val="20"/>
          <w:lang w:val="en"/>
        </w:rPr>
        <w:t>. The research model used can be expressed in the form of a multiple linear regression equation as follows:</w:t>
      </w:r>
    </w:p>
    <w:p w14:paraId="78A4D269" w14:textId="77777777" w:rsidR="00445D2F" w:rsidRPr="00445D2F" w:rsidRDefault="00445D2F" w:rsidP="00445D2F">
      <w:pPr>
        <w:jc w:val="center"/>
        <w:rPr>
          <w:i/>
          <w:iCs/>
          <w:szCs w:val="20"/>
          <w:lang w:val="id-ID"/>
        </w:rPr>
      </w:pPr>
      <w:r w:rsidRPr="00445D2F">
        <w:rPr>
          <w:i/>
          <w:iCs/>
          <w:szCs w:val="20"/>
          <w:lang w:val="id-ID"/>
        </w:rPr>
        <w:t xml:space="preserve">HDIᵢ = </w:t>
      </w:r>
      <m:oMath>
        <m:sSub>
          <m:sSubPr>
            <m:ctrlPr>
              <w:rPr>
                <w:rFonts w:ascii="Cambria Math" w:hAnsi="Cambria Math"/>
                <w:i/>
                <w:iCs/>
                <w:szCs w:val="20"/>
                <w:lang w:val="id-ID"/>
              </w:rPr>
            </m:ctrlPr>
          </m:sSubPr>
          <m:e>
            <m:r>
              <w:rPr>
                <w:rFonts w:ascii="Cambria Math" w:hAnsi="Cambria Math"/>
                <w:szCs w:val="20"/>
                <w:lang w:val="id-ID"/>
              </w:rPr>
              <m:t>β</m:t>
            </m:r>
          </m:e>
          <m:sub>
            <m:r>
              <w:rPr>
                <w:rFonts w:ascii="Cambria Math" w:hAnsi="Cambria Math"/>
                <w:szCs w:val="20"/>
                <w:lang w:val="id-ID"/>
              </w:rPr>
              <m:t>0</m:t>
            </m:r>
          </m:sub>
        </m:sSub>
      </m:oMath>
      <w:r w:rsidRPr="00445D2F">
        <w:rPr>
          <w:i/>
          <w:iCs/>
          <w:szCs w:val="20"/>
          <w:lang w:val="id-ID"/>
        </w:rPr>
        <w:t xml:space="preserve">    + β₁AYSᵢ + β₂PMWᵢ + εᵢ</w:t>
      </w:r>
    </w:p>
    <w:p w14:paraId="6628EC92" w14:textId="77777777" w:rsidR="00445D2F" w:rsidRPr="00445D2F" w:rsidRDefault="00445D2F" w:rsidP="00445D2F">
      <w:pPr>
        <w:spacing w:after="0"/>
        <w:rPr>
          <w:szCs w:val="20"/>
          <w:lang w:val="id-ID"/>
        </w:rPr>
      </w:pPr>
      <w:r w:rsidRPr="00445D2F">
        <w:rPr>
          <w:szCs w:val="20"/>
          <w:lang w:val="id-ID"/>
        </w:rPr>
        <w:t>Information:</w:t>
      </w:r>
    </w:p>
    <w:p w14:paraId="4B088291" w14:textId="77777777" w:rsidR="00445D2F" w:rsidRPr="00445D2F" w:rsidRDefault="00445D2F" w:rsidP="00445D2F">
      <w:pPr>
        <w:spacing w:after="0"/>
        <w:rPr>
          <w:szCs w:val="20"/>
        </w:rPr>
      </w:pPr>
      <w:r w:rsidRPr="00445D2F">
        <w:rPr>
          <w:i/>
          <w:iCs/>
          <w:szCs w:val="20"/>
        </w:rPr>
        <w:t>HDIᵢ</w:t>
      </w:r>
      <w:r w:rsidRPr="00445D2F">
        <w:rPr>
          <w:szCs w:val="20"/>
        </w:rPr>
        <w:tab/>
        <w:t xml:space="preserve">      </w:t>
      </w:r>
      <w:proofErr w:type="gramStart"/>
      <w:r w:rsidRPr="00445D2F">
        <w:rPr>
          <w:szCs w:val="20"/>
        </w:rPr>
        <w:t xml:space="preserve">  :</w:t>
      </w:r>
      <w:proofErr w:type="gramEnd"/>
      <w:r w:rsidRPr="00445D2F">
        <w:rPr>
          <w:szCs w:val="20"/>
        </w:rPr>
        <w:t xml:space="preserve"> Human Development Index of the </w:t>
      </w:r>
      <w:proofErr w:type="spellStart"/>
      <w:r w:rsidRPr="00445D2F">
        <w:rPr>
          <w:szCs w:val="20"/>
        </w:rPr>
        <w:t>i-th</w:t>
      </w:r>
      <w:proofErr w:type="spellEnd"/>
      <w:r w:rsidRPr="00445D2F">
        <w:rPr>
          <w:szCs w:val="20"/>
        </w:rPr>
        <w:t xml:space="preserve"> province </w:t>
      </w:r>
    </w:p>
    <w:p w14:paraId="2085D33D" w14:textId="77777777" w:rsidR="00445D2F" w:rsidRPr="00445D2F" w:rsidRDefault="00445D2F" w:rsidP="00445D2F">
      <w:pPr>
        <w:spacing w:after="0"/>
        <w:rPr>
          <w:szCs w:val="20"/>
        </w:rPr>
      </w:pPr>
      <w:r w:rsidRPr="00445D2F">
        <w:rPr>
          <w:i/>
          <w:iCs/>
          <w:szCs w:val="20"/>
        </w:rPr>
        <w:t>AYSᵢ</w:t>
      </w:r>
      <w:r w:rsidRPr="00445D2F">
        <w:rPr>
          <w:szCs w:val="20"/>
        </w:rPr>
        <w:tab/>
        <w:t xml:space="preserve">      </w:t>
      </w:r>
      <w:proofErr w:type="gramStart"/>
      <w:r w:rsidRPr="00445D2F">
        <w:rPr>
          <w:szCs w:val="20"/>
        </w:rPr>
        <w:t xml:space="preserve">  :</w:t>
      </w:r>
      <w:proofErr w:type="gramEnd"/>
      <w:r w:rsidRPr="00445D2F">
        <w:rPr>
          <w:szCs w:val="20"/>
        </w:rPr>
        <w:t xml:space="preserve"> Average Years of Schooling of the </w:t>
      </w:r>
      <w:proofErr w:type="spellStart"/>
      <w:r w:rsidRPr="00445D2F">
        <w:rPr>
          <w:szCs w:val="20"/>
        </w:rPr>
        <w:t>i-th</w:t>
      </w:r>
      <w:proofErr w:type="spellEnd"/>
      <w:r w:rsidRPr="00445D2F">
        <w:rPr>
          <w:szCs w:val="20"/>
        </w:rPr>
        <w:t xml:space="preserve"> province</w:t>
      </w:r>
    </w:p>
    <w:p w14:paraId="4905877A" w14:textId="77777777" w:rsidR="00445D2F" w:rsidRPr="00445D2F" w:rsidRDefault="00445D2F" w:rsidP="00445D2F">
      <w:pPr>
        <w:spacing w:after="0"/>
        <w:rPr>
          <w:szCs w:val="20"/>
        </w:rPr>
      </w:pPr>
      <w:r w:rsidRPr="00445D2F">
        <w:rPr>
          <w:i/>
          <w:iCs/>
          <w:szCs w:val="20"/>
        </w:rPr>
        <w:t>PMWᵢ</w:t>
      </w:r>
      <w:r w:rsidRPr="00445D2F">
        <w:rPr>
          <w:szCs w:val="20"/>
        </w:rPr>
        <w:tab/>
        <w:t xml:space="preserve">      </w:t>
      </w:r>
      <w:proofErr w:type="gramStart"/>
      <w:r w:rsidRPr="00445D2F">
        <w:rPr>
          <w:szCs w:val="20"/>
        </w:rPr>
        <w:t xml:space="preserve">  :</w:t>
      </w:r>
      <w:proofErr w:type="gramEnd"/>
      <w:r w:rsidRPr="00445D2F">
        <w:rPr>
          <w:szCs w:val="20"/>
        </w:rPr>
        <w:t xml:space="preserve"> Provincial Minimum Wage of the </w:t>
      </w:r>
      <w:proofErr w:type="spellStart"/>
      <w:r w:rsidRPr="00445D2F">
        <w:rPr>
          <w:szCs w:val="20"/>
        </w:rPr>
        <w:t>i-th</w:t>
      </w:r>
      <w:proofErr w:type="spellEnd"/>
      <w:r w:rsidRPr="00445D2F">
        <w:rPr>
          <w:szCs w:val="20"/>
        </w:rPr>
        <w:t xml:space="preserve"> </w:t>
      </w:r>
    </w:p>
    <w:p w14:paraId="742B35A0" w14:textId="77777777" w:rsidR="00445D2F" w:rsidRPr="00445D2F" w:rsidRDefault="009E6851" w:rsidP="00445D2F">
      <w:pPr>
        <w:spacing w:after="0"/>
        <w:rPr>
          <w:szCs w:val="20"/>
          <w:lang w:val="id-ID"/>
        </w:rPr>
      </w:pPr>
      <m:oMath>
        <m:sSub>
          <m:sSubPr>
            <m:ctrlPr>
              <w:rPr>
                <w:rFonts w:ascii="Cambria Math" w:hAnsi="Cambria Math"/>
                <w:i/>
                <w:iCs/>
                <w:szCs w:val="20"/>
                <w:lang w:val="id-ID"/>
              </w:rPr>
            </m:ctrlPr>
          </m:sSubPr>
          <m:e>
            <m:r>
              <w:rPr>
                <w:rFonts w:ascii="Cambria Math" w:hAnsi="Cambria Math"/>
                <w:szCs w:val="20"/>
                <w:lang w:val="id-ID"/>
              </w:rPr>
              <m:t>β</m:t>
            </m:r>
          </m:e>
          <m:sub>
            <m:r>
              <w:rPr>
                <w:rFonts w:ascii="Cambria Math" w:hAnsi="Cambria Math"/>
                <w:szCs w:val="20"/>
                <w:lang w:val="id-ID"/>
              </w:rPr>
              <m:t>0</m:t>
            </m:r>
          </m:sub>
        </m:sSub>
      </m:oMath>
      <w:r w:rsidR="00445D2F" w:rsidRPr="00445D2F">
        <w:rPr>
          <w:szCs w:val="20"/>
          <w:lang w:val="id-ID"/>
        </w:rPr>
        <w:tab/>
      </w:r>
      <w:r w:rsidR="00445D2F" w:rsidRPr="00445D2F">
        <w:rPr>
          <w:szCs w:val="20"/>
          <w:lang w:val="id-ID"/>
        </w:rPr>
        <w:tab/>
      </w:r>
      <w:r w:rsidR="00445D2F" w:rsidRPr="00445D2F">
        <w:rPr>
          <w:szCs w:val="20"/>
          <w:lang w:val="en-GB"/>
        </w:rPr>
        <w:t xml:space="preserve">          </w:t>
      </w:r>
      <w:r w:rsidR="00445D2F" w:rsidRPr="00445D2F">
        <w:rPr>
          <w:szCs w:val="20"/>
          <w:lang w:val="id-ID"/>
        </w:rPr>
        <w:t>: Constant</w:t>
      </w:r>
    </w:p>
    <w:p w14:paraId="38B520F4" w14:textId="77777777" w:rsidR="00445D2F" w:rsidRPr="00445D2F" w:rsidRDefault="00445D2F" w:rsidP="00445D2F">
      <w:pPr>
        <w:spacing w:after="0"/>
        <w:rPr>
          <w:szCs w:val="20"/>
          <w:lang w:val="id-ID"/>
        </w:rPr>
      </w:pPr>
      <w:r w:rsidRPr="00445D2F">
        <w:rPr>
          <w:szCs w:val="20"/>
          <w:lang w:val="id-ID"/>
        </w:rPr>
        <w:t>β₁ and β₂</w:t>
      </w:r>
      <w:r w:rsidRPr="00445D2F">
        <w:rPr>
          <w:szCs w:val="20"/>
          <w:lang w:val="id-ID"/>
        </w:rPr>
        <w:tab/>
        <w:t>: Regression coefficient of each independent variable</w:t>
      </w:r>
    </w:p>
    <w:p w14:paraId="17BE04CA" w14:textId="77777777" w:rsidR="00445D2F" w:rsidRPr="00445D2F" w:rsidRDefault="00445D2F" w:rsidP="00445D2F">
      <w:pPr>
        <w:spacing w:after="0"/>
        <w:rPr>
          <w:szCs w:val="20"/>
          <w:lang w:val="id-ID"/>
        </w:rPr>
      </w:pPr>
      <w:r w:rsidRPr="00445D2F">
        <w:rPr>
          <w:szCs w:val="20"/>
          <w:lang w:val="id-ID"/>
        </w:rPr>
        <w:t>εᵢ</w:t>
      </w:r>
      <w:r w:rsidRPr="00445D2F">
        <w:rPr>
          <w:szCs w:val="20"/>
          <w:lang w:val="id-ID"/>
        </w:rPr>
        <w:tab/>
      </w:r>
      <w:r w:rsidRPr="00445D2F">
        <w:rPr>
          <w:szCs w:val="20"/>
          <w:lang w:val="id-ID"/>
        </w:rPr>
        <w:tab/>
      </w:r>
      <w:r w:rsidRPr="00445D2F">
        <w:rPr>
          <w:szCs w:val="20"/>
          <w:lang w:val="en-GB"/>
        </w:rPr>
        <w:t xml:space="preserve">          </w:t>
      </w:r>
      <w:r w:rsidRPr="00445D2F">
        <w:rPr>
          <w:szCs w:val="20"/>
          <w:lang w:val="id-ID"/>
        </w:rPr>
        <w:t>: Error term</w:t>
      </w:r>
    </w:p>
    <w:p w14:paraId="6FCA6C2E" w14:textId="77777777" w:rsidR="00445D2F" w:rsidRPr="00445D2F" w:rsidRDefault="00445D2F" w:rsidP="00445D2F">
      <w:pPr>
        <w:spacing w:after="0"/>
        <w:rPr>
          <w:szCs w:val="20"/>
          <w:lang w:val="id-ID"/>
        </w:rPr>
      </w:pPr>
    </w:p>
    <w:p w14:paraId="7F4F41D7" w14:textId="1E9DD1B7" w:rsidR="001201CF" w:rsidRPr="001201CF" w:rsidRDefault="00445D2F" w:rsidP="001201CF">
      <w:pPr>
        <w:rPr>
          <w:szCs w:val="20"/>
        </w:rPr>
      </w:pPr>
      <w:r w:rsidRPr="00445D2F">
        <w:rPr>
          <w:szCs w:val="20"/>
          <w:lang w:val="en"/>
        </w:rPr>
        <w:t>This model is used to measure the magnitude of the influence of the average length of schooling and provincial minimum wages on variations in the Human Development Index across all inter- provinces in Indonesia in 2024.</w:t>
      </w:r>
      <w:r w:rsidRPr="00445D2F">
        <w:rPr>
          <w:szCs w:val="20"/>
          <w:lang w:val="id-ID"/>
        </w:rPr>
        <w:t xml:space="preserve">  </w:t>
      </w:r>
    </w:p>
    <w:p w14:paraId="790807A6" w14:textId="3890079E" w:rsidR="00DF0BEE" w:rsidRDefault="00DF0BEE" w:rsidP="008717E0">
      <w:pPr>
        <w:pStyle w:val="Heading1"/>
        <w:ind w:left="284" w:hanging="284"/>
        <w:rPr>
          <w:lang w:val="id-ID"/>
        </w:rPr>
      </w:pPr>
      <w:r>
        <w:t xml:space="preserve">3. </w:t>
      </w:r>
      <w:r>
        <w:tab/>
      </w:r>
      <w:r w:rsidR="000279C2" w:rsidRPr="00CA2057">
        <w:rPr>
          <w:lang w:val="en"/>
        </w:rPr>
        <w:t>Results and Discussions</w:t>
      </w:r>
    </w:p>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tblGrid>
      <w:tr w:rsidR="001201CF" w:rsidRPr="001201CF" w14:paraId="4C406CF7" w14:textId="77777777" w:rsidTr="001201CF">
        <w:trPr>
          <w:trHeight w:val="1095"/>
        </w:trPr>
        <w:tc>
          <w:tcPr>
            <w:tcW w:w="9711" w:type="dxa"/>
          </w:tcPr>
          <w:p w14:paraId="6A0F1AB9" w14:textId="77777777" w:rsidR="001201CF" w:rsidRPr="001201CF" w:rsidRDefault="001201CF" w:rsidP="001201CF">
            <w:pPr>
              <w:spacing w:after="120"/>
              <w:rPr>
                <w:b/>
                <w:bCs/>
                <w:color w:val="000000"/>
                <w:lang w:val="id-ID"/>
              </w:rPr>
            </w:pPr>
            <w:bookmarkStart w:id="2" w:name="_Hlk67818599"/>
            <w:r w:rsidRPr="001201CF">
              <w:rPr>
                <w:b/>
                <w:bCs/>
                <w:color w:val="000000"/>
                <w:lang w:val="en-GB"/>
              </w:rPr>
              <w:t xml:space="preserve">A. </w:t>
            </w:r>
            <w:r w:rsidRPr="001201CF">
              <w:rPr>
                <w:b/>
                <w:bCs/>
                <w:color w:val="000000"/>
                <w:lang w:val="id-ID"/>
              </w:rPr>
              <w:t>Normality Test Results</w:t>
            </w:r>
          </w:p>
          <w:p w14:paraId="60811E98" w14:textId="77777777" w:rsidR="001201CF" w:rsidRPr="001201CF" w:rsidRDefault="001201CF" w:rsidP="001201CF">
            <w:pPr>
              <w:spacing w:after="120"/>
              <w:rPr>
                <w:bCs/>
                <w:color w:val="000000"/>
              </w:rPr>
            </w:pPr>
          </w:p>
          <w:p w14:paraId="547FA2EE" w14:textId="77777777" w:rsidR="001201CF" w:rsidRPr="001201CF" w:rsidRDefault="001201CF" w:rsidP="001201CF">
            <w:pPr>
              <w:spacing w:after="120"/>
              <w:rPr>
                <w:color w:val="000000"/>
              </w:rPr>
            </w:pPr>
            <w:r w:rsidRPr="001201CF">
              <w:rPr>
                <w:color w:val="000000"/>
              </w:rPr>
              <w:t xml:space="preserve">Figure 1. Normality Test Histogram </w:t>
            </w:r>
            <w:r w:rsidRPr="001201CF">
              <w:rPr>
                <w:color w:val="000000"/>
              </w:rPr>
              <w:tab/>
            </w:r>
            <w:r w:rsidRPr="001201CF">
              <w:rPr>
                <w:color w:val="000000"/>
              </w:rPr>
              <w:tab/>
              <w:t xml:space="preserve">                       Figure.2  Normality P-P Plot</w:t>
            </w:r>
          </w:p>
          <w:p w14:paraId="3F9A6C03" w14:textId="485A61BB" w:rsidR="001201CF" w:rsidRPr="001201CF" w:rsidRDefault="001201CF" w:rsidP="001201CF">
            <w:pPr>
              <w:spacing w:after="120"/>
              <w:jc w:val="center"/>
              <w:rPr>
                <w:color w:val="000000"/>
              </w:rPr>
            </w:pPr>
            <w:r w:rsidRPr="001201CF">
              <w:rPr>
                <w:noProof/>
                <w:color w:val="000000"/>
              </w:rPr>
              <w:drawing>
                <wp:inline distT="0" distB="0" distL="0" distR="0" wp14:anchorId="77A2D8BE" wp14:editId="11FC7E4E">
                  <wp:extent cx="2390775" cy="1960805"/>
                  <wp:effectExtent l="0" t="0" r="0" b="1905"/>
                  <wp:docPr id="8712307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30737" name="Picture 871230737"/>
                          <pic:cNvPicPr/>
                        </pic:nvPicPr>
                        <pic:blipFill>
                          <a:blip r:embed="rId14">
                            <a:extLst>
                              <a:ext uri="{28A0092B-C50C-407E-A947-70E740481C1C}">
                                <a14:useLocalDpi xmlns:a14="http://schemas.microsoft.com/office/drawing/2010/main"/>
                              </a:ext>
                            </a:extLst>
                          </a:blip>
                          <a:stretch>
                            <a:fillRect/>
                          </a:stretch>
                        </pic:blipFill>
                        <pic:spPr>
                          <a:xfrm>
                            <a:off x="0" y="0"/>
                            <a:ext cx="2390775" cy="1960805"/>
                          </a:xfrm>
                          <a:prstGeom prst="rect">
                            <a:avLst/>
                          </a:prstGeom>
                        </pic:spPr>
                      </pic:pic>
                    </a:graphicData>
                  </a:graphic>
                </wp:inline>
              </w:drawing>
            </w:r>
            <w:r w:rsidRPr="001201CF">
              <w:rPr>
                <w:noProof/>
                <w:color w:val="000000"/>
              </w:rPr>
              <w:drawing>
                <wp:inline distT="0" distB="0" distL="0" distR="0" wp14:anchorId="723F0681" wp14:editId="1C46BF01">
                  <wp:extent cx="2065170" cy="2038350"/>
                  <wp:effectExtent l="0" t="0" r="0" b="0"/>
                  <wp:docPr id="15360821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82111" name="Picture 1536082111"/>
                          <pic:cNvPicPr/>
                        </pic:nvPicPr>
                        <pic:blipFill>
                          <a:blip r:embed="rId15">
                            <a:extLst>
                              <a:ext uri="{28A0092B-C50C-407E-A947-70E740481C1C}">
                                <a14:useLocalDpi xmlns:a14="http://schemas.microsoft.com/office/drawing/2010/main"/>
                              </a:ext>
                            </a:extLst>
                          </a:blip>
                          <a:stretch>
                            <a:fillRect/>
                          </a:stretch>
                        </pic:blipFill>
                        <pic:spPr>
                          <a:xfrm>
                            <a:off x="0" y="0"/>
                            <a:ext cx="2065170" cy="2038350"/>
                          </a:xfrm>
                          <a:prstGeom prst="rect">
                            <a:avLst/>
                          </a:prstGeom>
                        </pic:spPr>
                      </pic:pic>
                    </a:graphicData>
                  </a:graphic>
                </wp:inline>
              </w:drawing>
            </w:r>
          </w:p>
          <w:p w14:paraId="222E89FB" w14:textId="77777777" w:rsidR="001201CF" w:rsidRPr="001201CF" w:rsidRDefault="001201CF" w:rsidP="001201CF">
            <w:pPr>
              <w:spacing w:after="120"/>
              <w:rPr>
                <w:color w:val="000000"/>
              </w:rPr>
            </w:pPr>
            <w:r w:rsidRPr="001201CF">
              <w:rPr>
                <w:color w:val="000000"/>
              </w:rPr>
              <w:tab/>
            </w:r>
            <w:bookmarkStart w:id="3" w:name="_Hlk214437747"/>
            <w:r w:rsidRPr="001201CF">
              <w:rPr>
                <w:color w:val="000000"/>
              </w:rPr>
              <w:t xml:space="preserve">Resource: </w:t>
            </w:r>
            <w:bookmarkEnd w:id="3"/>
            <w:r w:rsidRPr="001201CF">
              <w:rPr>
                <w:color w:val="000000"/>
              </w:rPr>
              <w:t>Processed IBM SPSS Statistics 25, 2025</w:t>
            </w:r>
          </w:p>
          <w:p w14:paraId="6E702252" w14:textId="28CDB8E9" w:rsidR="001201CF" w:rsidRDefault="001201CF" w:rsidP="001201CF">
            <w:pPr>
              <w:spacing w:after="120"/>
              <w:rPr>
                <w:color w:val="000000"/>
              </w:rPr>
            </w:pPr>
          </w:p>
          <w:p w14:paraId="773B7AD6" w14:textId="77777777" w:rsidR="00090C24" w:rsidRPr="001201CF" w:rsidRDefault="00090C24" w:rsidP="001201CF">
            <w:pPr>
              <w:spacing w:after="120"/>
              <w:rPr>
                <w:color w:val="000000"/>
              </w:rPr>
            </w:pPr>
          </w:p>
          <w:p w14:paraId="5BB499DB" w14:textId="2EE9E75A" w:rsidR="001201CF" w:rsidRPr="001201CF" w:rsidRDefault="001201CF" w:rsidP="001201CF">
            <w:pPr>
              <w:spacing w:after="120"/>
              <w:rPr>
                <w:color w:val="000000"/>
              </w:rPr>
            </w:pPr>
            <w:r w:rsidRPr="001201CF">
              <w:rPr>
                <w:color w:val="000000"/>
                <w:lang w:val="id-ID"/>
              </w:rPr>
              <w:lastRenderedPageBreak/>
              <w:t>Normality testing was conducted using a histogram and a Normal P–P Plot to observe the pattern of the residual distribution from the inter-provincial observations. Based on the histogram, the curve appears bell-shaped and symmetrical around the mean. Most observations are concentrated in the center of the distribution, while the frequencies at both tails gradually decline. This pattern indicates that the residuals approximate a normal distribution. Although slight deviations are present on one tail, they remain within a reasonable threshold and do not suggest any substantial abnormality.</w:t>
            </w:r>
            <w:r>
              <w:rPr>
                <w:color w:val="000000"/>
              </w:rPr>
              <w:t xml:space="preserve"> </w:t>
            </w:r>
            <w:r w:rsidRPr="001201CF">
              <w:rPr>
                <w:color w:val="000000"/>
                <w:lang w:val="id-ID"/>
              </w:rPr>
              <w:t>The Normal P–P Plot further supports this finding, as the plotted residual points follow the diagonal reference line consistently. No extreme deviations from the line are observed, demonstrating that the residual values closely follow a normal cumulative distribution. With these graphical analyses, the residuals can be considered to meet the assumption of normality for the regression model used in this study of 38 provinces, and are therefore appropriate for further statistical analysis, including linear regression and other parametric tests.</w:t>
            </w:r>
          </w:p>
          <w:p w14:paraId="3E82FE7A" w14:textId="0BED6FE2" w:rsidR="001201CF" w:rsidRPr="001201CF" w:rsidRDefault="001201CF" w:rsidP="001201CF">
            <w:pPr>
              <w:spacing w:after="120"/>
              <w:rPr>
                <w:b/>
                <w:bCs/>
                <w:color w:val="000000"/>
              </w:rPr>
            </w:pPr>
            <w:r w:rsidRPr="001201CF">
              <w:rPr>
                <w:b/>
                <w:bCs/>
                <w:color w:val="000000"/>
                <w:lang w:val="en-GB"/>
              </w:rPr>
              <w:t xml:space="preserve">B. </w:t>
            </w:r>
            <w:r w:rsidRPr="001201CF">
              <w:rPr>
                <w:b/>
                <w:bCs/>
                <w:color w:val="000000"/>
                <w:lang w:val="id-ID"/>
              </w:rPr>
              <w:t>Classical Assumption Test Results</w:t>
            </w:r>
          </w:p>
          <w:p w14:paraId="42696C21" w14:textId="77777777" w:rsidR="001201CF" w:rsidRPr="001201CF" w:rsidRDefault="001201CF" w:rsidP="001201CF">
            <w:pPr>
              <w:spacing w:after="120"/>
              <w:rPr>
                <w:b/>
                <w:bCs/>
                <w:color w:val="000000"/>
                <w:lang w:val="id-ID"/>
              </w:rPr>
            </w:pPr>
            <w:r w:rsidRPr="001201CF">
              <w:rPr>
                <w:b/>
                <w:bCs/>
                <w:color w:val="000000"/>
                <w:lang w:val="id-ID"/>
              </w:rPr>
              <w:t>Multicollinearity Test</w:t>
            </w:r>
          </w:p>
          <w:p w14:paraId="616617B6" w14:textId="77777777" w:rsidR="001201CF" w:rsidRPr="001201CF" w:rsidRDefault="001201CF" w:rsidP="001201CF">
            <w:pPr>
              <w:spacing w:after="120"/>
              <w:rPr>
                <w:b/>
                <w:bCs/>
                <w:color w:val="000000"/>
                <w:lang w:val="id-ID"/>
              </w:rPr>
            </w:pPr>
          </w:p>
          <w:p w14:paraId="24A88646" w14:textId="77777777" w:rsidR="001201CF" w:rsidRPr="001201CF" w:rsidRDefault="001201CF" w:rsidP="001201CF">
            <w:pPr>
              <w:spacing w:after="120"/>
              <w:jc w:val="center"/>
              <w:rPr>
                <w:color w:val="000000"/>
                <w:lang w:val="id-ID"/>
              </w:rPr>
            </w:pPr>
            <w:r w:rsidRPr="001201CF">
              <w:rPr>
                <w:color w:val="000000"/>
                <w:lang w:val="id-ID"/>
              </w:rPr>
              <w:t>Table 4. Multicollinearity Test</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830"/>
              <w:gridCol w:w="1898"/>
              <w:gridCol w:w="1814"/>
              <w:gridCol w:w="1660"/>
            </w:tblGrid>
            <w:tr w:rsidR="001201CF" w:rsidRPr="001201CF" w14:paraId="03792CB3" w14:textId="77777777" w:rsidTr="00636913">
              <w:trPr>
                <w:jc w:val="center"/>
              </w:trPr>
              <w:tc>
                <w:tcPr>
                  <w:tcW w:w="1830" w:type="dxa"/>
                  <w:tcBorders>
                    <w:top w:val="single" w:sz="4" w:space="0" w:color="auto"/>
                    <w:bottom w:val="single" w:sz="4" w:space="0" w:color="auto"/>
                  </w:tcBorders>
                </w:tcPr>
                <w:p w14:paraId="7033E725" w14:textId="77777777" w:rsidR="001201CF" w:rsidRPr="001201CF" w:rsidRDefault="001201CF" w:rsidP="001201CF">
                  <w:pPr>
                    <w:spacing w:after="120"/>
                    <w:rPr>
                      <w:b/>
                      <w:bCs/>
                      <w:color w:val="000000"/>
                    </w:rPr>
                  </w:pPr>
                  <w:r w:rsidRPr="001201CF">
                    <w:rPr>
                      <w:b/>
                      <w:bCs/>
                      <w:color w:val="000000"/>
                    </w:rPr>
                    <w:t>Model</w:t>
                  </w:r>
                </w:p>
              </w:tc>
              <w:tc>
                <w:tcPr>
                  <w:tcW w:w="1898" w:type="dxa"/>
                  <w:tcBorders>
                    <w:top w:val="single" w:sz="4" w:space="0" w:color="auto"/>
                    <w:bottom w:val="single" w:sz="4" w:space="0" w:color="auto"/>
                  </w:tcBorders>
                </w:tcPr>
                <w:p w14:paraId="12376DBB" w14:textId="77777777" w:rsidR="001201CF" w:rsidRPr="001201CF" w:rsidRDefault="001201CF" w:rsidP="001201CF">
                  <w:pPr>
                    <w:spacing w:after="120"/>
                    <w:rPr>
                      <w:b/>
                      <w:bCs/>
                      <w:color w:val="000000"/>
                    </w:rPr>
                  </w:pPr>
                  <w:proofErr w:type="spellStart"/>
                  <w:r w:rsidRPr="001201CF">
                    <w:rPr>
                      <w:b/>
                      <w:bCs/>
                      <w:color w:val="000000"/>
                    </w:rPr>
                    <w:t>Koefisen</w:t>
                  </w:r>
                  <w:proofErr w:type="spellEnd"/>
                </w:p>
              </w:tc>
              <w:tc>
                <w:tcPr>
                  <w:tcW w:w="1814" w:type="dxa"/>
                  <w:tcBorders>
                    <w:top w:val="single" w:sz="4" w:space="0" w:color="auto"/>
                    <w:bottom w:val="single" w:sz="4" w:space="0" w:color="auto"/>
                  </w:tcBorders>
                </w:tcPr>
                <w:p w14:paraId="73795900" w14:textId="77777777" w:rsidR="001201CF" w:rsidRPr="001201CF" w:rsidRDefault="001201CF" w:rsidP="001201CF">
                  <w:pPr>
                    <w:spacing w:after="120"/>
                    <w:rPr>
                      <w:b/>
                      <w:bCs/>
                      <w:color w:val="000000"/>
                    </w:rPr>
                  </w:pPr>
                  <w:r w:rsidRPr="001201CF">
                    <w:rPr>
                      <w:b/>
                      <w:bCs/>
                      <w:color w:val="000000"/>
                    </w:rPr>
                    <w:t>Tolerance</w:t>
                  </w:r>
                </w:p>
              </w:tc>
              <w:tc>
                <w:tcPr>
                  <w:tcW w:w="1660" w:type="dxa"/>
                  <w:tcBorders>
                    <w:top w:val="single" w:sz="4" w:space="0" w:color="auto"/>
                    <w:bottom w:val="single" w:sz="4" w:space="0" w:color="auto"/>
                  </w:tcBorders>
                </w:tcPr>
                <w:p w14:paraId="11584C70" w14:textId="77777777" w:rsidR="001201CF" w:rsidRPr="001201CF" w:rsidRDefault="001201CF" w:rsidP="001201CF">
                  <w:pPr>
                    <w:spacing w:after="120"/>
                    <w:rPr>
                      <w:b/>
                      <w:bCs/>
                      <w:color w:val="000000"/>
                    </w:rPr>
                  </w:pPr>
                  <w:r w:rsidRPr="001201CF">
                    <w:rPr>
                      <w:b/>
                      <w:bCs/>
                      <w:color w:val="000000"/>
                    </w:rPr>
                    <w:t>VIF</w:t>
                  </w:r>
                </w:p>
              </w:tc>
            </w:tr>
            <w:tr w:rsidR="001201CF" w:rsidRPr="001201CF" w14:paraId="1635C854" w14:textId="77777777" w:rsidTr="00636913">
              <w:trPr>
                <w:jc w:val="center"/>
              </w:trPr>
              <w:tc>
                <w:tcPr>
                  <w:tcW w:w="1830" w:type="dxa"/>
                  <w:tcBorders>
                    <w:top w:val="single" w:sz="4" w:space="0" w:color="auto"/>
                    <w:bottom w:val="nil"/>
                  </w:tcBorders>
                </w:tcPr>
                <w:p w14:paraId="5AB4717E" w14:textId="77777777" w:rsidR="001201CF" w:rsidRPr="001201CF" w:rsidRDefault="001201CF" w:rsidP="001201CF">
                  <w:pPr>
                    <w:spacing w:after="120"/>
                    <w:rPr>
                      <w:color w:val="000000"/>
                    </w:rPr>
                  </w:pPr>
                  <w:r w:rsidRPr="001201CF">
                    <w:rPr>
                      <w:color w:val="000000"/>
                    </w:rPr>
                    <w:t>Constans</w:t>
                  </w:r>
                </w:p>
              </w:tc>
              <w:tc>
                <w:tcPr>
                  <w:tcW w:w="1898" w:type="dxa"/>
                  <w:tcBorders>
                    <w:top w:val="single" w:sz="4" w:space="0" w:color="auto"/>
                    <w:bottom w:val="nil"/>
                  </w:tcBorders>
                </w:tcPr>
                <w:p w14:paraId="5772DDE4" w14:textId="77777777" w:rsidR="001201CF" w:rsidRPr="001201CF" w:rsidRDefault="001201CF" w:rsidP="001201CF">
                  <w:pPr>
                    <w:spacing w:after="120"/>
                    <w:rPr>
                      <w:color w:val="000000"/>
                    </w:rPr>
                  </w:pPr>
                  <w:r w:rsidRPr="001201CF">
                    <w:rPr>
                      <w:color w:val="000000"/>
                    </w:rPr>
                    <w:t>43.659</w:t>
                  </w:r>
                </w:p>
              </w:tc>
              <w:tc>
                <w:tcPr>
                  <w:tcW w:w="1814" w:type="dxa"/>
                  <w:tcBorders>
                    <w:top w:val="single" w:sz="4" w:space="0" w:color="auto"/>
                    <w:bottom w:val="nil"/>
                  </w:tcBorders>
                </w:tcPr>
                <w:p w14:paraId="6CB75BFA" w14:textId="77777777" w:rsidR="001201CF" w:rsidRPr="001201CF" w:rsidRDefault="001201CF" w:rsidP="001201CF">
                  <w:pPr>
                    <w:spacing w:after="120"/>
                    <w:rPr>
                      <w:color w:val="000000"/>
                    </w:rPr>
                  </w:pPr>
                </w:p>
              </w:tc>
              <w:tc>
                <w:tcPr>
                  <w:tcW w:w="1660" w:type="dxa"/>
                  <w:tcBorders>
                    <w:top w:val="single" w:sz="4" w:space="0" w:color="auto"/>
                    <w:bottom w:val="nil"/>
                  </w:tcBorders>
                </w:tcPr>
                <w:p w14:paraId="51507217" w14:textId="77777777" w:rsidR="001201CF" w:rsidRPr="001201CF" w:rsidRDefault="001201CF" w:rsidP="001201CF">
                  <w:pPr>
                    <w:spacing w:after="120"/>
                    <w:rPr>
                      <w:color w:val="000000"/>
                    </w:rPr>
                  </w:pPr>
                </w:p>
              </w:tc>
            </w:tr>
            <w:tr w:rsidR="001201CF" w:rsidRPr="001201CF" w14:paraId="578998A7" w14:textId="77777777" w:rsidTr="00636913">
              <w:trPr>
                <w:jc w:val="center"/>
              </w:trPr>
              <w:tc>
                <w:tcPr>
                  <w:tcW w:w="1830" w:type="dxa"/>
                  <w:tcBorders>
                    <w:top w:val="nil"/>
                    <w:bottom w:val="nil"/>
                  </w:tcBorders>
                </w:tcPr>
                <w:p w14:paraId="28530E8A" w14:textId="77777777" w:rsidR="001201CF" w:rsidRPr="001201CF" w:rsidRDefault="001201CF" w:rsidP="001201CF">
                  <w:pPr>
                    <w:spacing w:after="120"/>
                    <w:rPr>
                      <w:color w:val="000000"/>
                    </w:rPr>
                  </w:pPr>
                  <w:r w:rsidRPr="001201CF">
                    <w:rPr>
                      <w:color w:val="000000"/>
                    </w:rPr>
                    <w:t>AYS</w:t>
                  </w:r>
                </w:p>
              </w:tc>
              <w:tc>
                <w:tcPr>
                  <w:tcW w:w="1898" w:type="dxa"/>
                  <w:tcBorders>
                    <w:top w:val="nil"/>
                    <w:bottom w:val="nil"/>
                  </w:tcBorders>
                </w:tcPr>
                <w:p w14:paraId="15619DAD" w14:textId="77777777" w:rsidR="001201CF" w:rsidRPr="001201CF" w:rsidRDefault="001201CF" w:rsidP="001201CF">
                  <w:pPr>
                    <w:spacing w:after="120"/>
                    <w:rPr>
                      <w:color w:val="000000"/>
                    </w:rPr>
                  </w:pPr>
                  <w:r w:rsidRPr="001201CF">
                    <w:rPr>
                      <w:color w:val="000000"/>
                    </w:rPr>
                    <w:t>3.715</w:t>
                  </w:r>
                </w:p>
              </w:tc>
              <w:tc>
                <w:tcPr>
                  <w:tcW w:w="1814" w:type="dxa"/>
                  <w:tcBorders>
                    <w:top w:val="nil"/>
                    <w:bottom w:val="nil"/>
                  </w:tcBorders>
                </w:tcPr>
                <w:p w14:paraId="5CEAABA5" w14:textId="77777777" w:rsidR="001201CF" w:rsidRPr="001201CF" w:rsidRDefault="001201CF" w:rsidP="001201CF">
                  <w:pPr>
                    <w:spacing w:after="120"/>
                    <w:rPr>
                      <w:color w:val="000000"/>
                    </w:rPr>
                  </w:pPr>
                  <w:r w:rsidRPr="001201CF">
                    <w:rPr>
                      <w:color w:val="000000"/>
                    </w:rPr>
                    <w:t>0.992</w:t>
                  </w:r>
                </w:p>
              </w:tc>
              <w:tc>
                <w:tcPr>
                  <w:tcW w:w="1660" w:type="dxa"/>
                  <w:tcBorders>
                    <w:top w:val="nil"/>
                    <w:bottom w:val="nil"/>
                  </w:tcBorders>
                </w:tcPr>
                <w:p w14:paraId="31C7C2D1" w14:textId="77777777" w:rsidR="001201CF" w:rsidRPr="001201CF" w:rsidRDefault="001201CF" w:rsidP="001201CF">
                  <w:pPr>
                    <w:spacing w:after="120"/>
                    <w:rPr>
                      <w:color w:val="000000"/>
                    </w:rPr>
                  </w:pPr>
                  <w:r w:rsidRPr="001201CF">
                    <w:rPr>
                      <w:color w:val="000000"/>
                    </w:rPr>
                    <w:t>1.008</w:t>
                  </w:r>
                </w:p>
              </w:tc>
            </w:tr>
            <w:tr w:rsidR="001201CF" w:rsidRPr="001201CF" w14:paraId="6ED69ED4" w14:textId="77777777" w:rsidTr="00636913">
              <w:trPr>
                <w:jc w:val="center"/>
              </w:trPr>
              <w:tc>
                <w:tcPr>
                  <w:tcW w:w="1830" w:type="dxa"/>
                  <w:tcBorders>
                    <w:top w:val="nil"/>
                    <w:bottom w:val="single" w:sz="4" w:space="0" w:color="auto"/>
                  </w:tcBorders>
                </w:tcPr>
                <w:p w14:paraId="54B21882" w14:textId="77777777" w:rsidR="001201CF" w:rsidRPr="001201CF" w:rsidRDefault="001201CF" w:rsidP="001201CF">
                  <w:pPr>
                    <w:spacing w:after="120"/>
                    <w:rPr>
                      <w:color w:val="000000"/>
                    </w:rPr>
                  </w:pPr>
                  <w:r w:rsidRPr="001201CF">
                    <w:rPr>
                      <w:color w:val="000000"/>
                    </w:rPr>
                    <w:t>PMW</w:t>
                  </w:r>
                </w:p>
              </w:tc>
              <w:tc>
                <w:tcPr>
                  <w:tcW w:w="1898" w:type="dxa"/>
                  <w:tcBorders>
                    <w:top w:val="nil"/>
                    <w:bottom w:val="single" w:sz="4" w:space="0" w:color="auto"/>
                  </w:tcBorders>
                </w:tcPr>
                <w:p w14:paraId="4F6304E6" w14:textId="77777777" w:rsidR="001201CF" w:rsidRPr="001201CF" w:rsidRDefault="001201CF" w:rsidP="001201CF">
                  <w:pPr>
                    <w:spacing w:after="120"/>
                    <w:rPr>
                      <w:color w:val="000000"/>
                    </w:rPr>
                  </w:pPr>
                  <w:r w:rsidRPr="001201CF">
                    <w:rPr>
                      <w:color w:val="000000"/>
                    </w:rPr>
                    <w:t>-1.850E-6</w:t>
                  </w:r>
                </w:p>
              </w:tc>
              <w:tc>
                <w:tcPr>
                  <w:tcW w:w="1814" w:type="dxa"/>
                  <w:tcBorders>
                    <w:top w:val="nil"/>
                    <w:bottom w:val="single" w:sz="4" w:space="0" w:color="auto"/>
                  </w:tcBorders>
                </w:tcPr>
                <w:p w14:paraId="24BFC4F2" w14:textId="77777777" w:rsidR="001201CF" w:rsidRPr="001201CF" w:rsidRDefault="001201CF" w:rsidP="001201CF">
                  <w:pPr>
                    <w:spacing w:after="120"/>
                    <w:rPr>
                      <w:color w:val="000000"/>
                    </w:rPr>
                  </w:pPr>
                  <w:r w:rsidRPr="001201CF">
                    <w:rPr>
                      <w:color w:val="000000"/>
                    </w:rPr>
                    <w:t>0.992</w:t>
                  </w:r>
                </w:p>
              </w:tc>
              <w:tc>
                <w:tcPr>
                  <w:tcW w:w="1660" w:type="dxa"/>
                  <w:tcBorders>
                    <w:top w:val="nil"/>
                    <w:bottom w:val="single" w:sz="4" w:space="0" w:color="auto"/>
                  </w:tcBorders>
                </w:tcPr>
                <w:p w14:paraId="6BF34623" w14:textId="77777777" w:rsidR="001201CF" w:rsidRPr="001201CF" w:rsidRDefault="001201CF" w:rsidP="001201CF">
                  <w:pPr>
                    <w:spacing w:after="120"/>
                    <w:rPr>
                      <w:color w:val="000000"/>
                    </w:rPr>
                  </w:pPr>
                  <w:r w:rsidRPr="001201CF">
                    <w:rPr>
                      <w:color w:val="000000"/>
                    </w:rPr>
                    <w:t>1.008</w:t>
                  </w:r>
                </w:p>
              </w:tc>
            </w:tr>
          </w:tbl>
          <w:p w14:paraId="78ADECE2" w14:textId="132BA1DE" w:rsidR="001201CF" w:rsidRPr="001201CF" w:rsidRDefault="001201CF" w:rsidP="001201CF">
            <w:pPr>
              <w:spacing w:after="120"/>
              <w:jc w:val="center"/>
              <w:rPr>
                <w:color w:val="000000"/>
              </w:rPr>
            </w:pPr>
            <w:r w:rsidRPr="001201CF">
              <w:rPr>
                <w:color w:val="000000"/>
              </w:rPr>
              <w:t>Resource : Processed IBM SPSS Statistics 25, 2025</w:t>
            </w:r>
          </w:p>
          <w:p w14:paraId="37ED97B4" w14:textId="392E3D67" w:rsidR="001201CF" w:rsidRPr="001201CF" w:rsidRDefault="001201CF" w:rsidP="001201CF">
            <w:pPr>
              <w:spacing w:after="120"/>
              <w:rPr>
                <w:color w:val="000000"/>
              </w:rPr>
            </w:pPr>
            <w:r w:rsidRPr="001201CF">
              <w:rPr>
                <w:color w:val="000000"/>
              </w:rPr>
              <w:t>Based on the regression output in Table 4 for the multicollinearity model, all independent variables have tolerance values greater than 0.1 and Variance Inflation Factor (VIF) values below 10. Therefore, it can be concluded that there are no multicollinearity symptoms among the independent variables in the regression model using data from 38 provinces. These results indicate that the Average Years of Schooling and Provincial Minimum Wage variables do not exhibit high linear correlation with each other, and the model meets the classical assumptions and is appropriate for further analysis.</w:t>
            </w:r>
          </w:p>
          <w:p w14:paraId="32A4A3BA" w14:textId="77777777" w:rsidR="001201CF" w:rsidRPr="001201CF" w:rsidRDefault="001201CF" w:rsidP="001201CF">
            <w:pPr>
              <w:spacing w:after="120"/>
              <w:rPr>
                <w:b/>
                <w:bCs/>
                <w:color w:val="000000"/>
                <w:lang w:val="id-ID"/>
              </w:rPr>
            </w:pPr>
            <w:r w:rsidRPr="001201CF">
              <w:rPr>
                <w:b/>
                <w:bCs/>
                <w:color w:val="000000"/>
                <w:lang w:val="id-ID"/>
              </w:rPr>
              <w:t>Heteroscedasticity Test</w:t>
            </w:r>
          </w:p>
          <w:p w14:paraId="7129D86E" w14:textId="77777777" w:rsidR="001201CF" w:rsidRPr="001201CF" w:rsidRDefault="001201CF" w:rsidP="001201CF">
            <w:pPr>
              <w:spacing w:after="120"/>
              <w:rPr>
                <w:b/>
                <w:bCs/>
                <w:color w:val="000000"/>
                <w:lang w:val="id-ID"/>
              </w:rPr>
            </w:pPr>
          </w:p>
          <w:p w14:paraId="6D60E733" w14:textId="77777777" w:rsidR="001201CF" w:rsidRPr="001201CF" w:rsidRDefault="001201CF" w:rsidP="001201CF">
            <w:pPr>
              <w:spacing w:after="120"/>
              <w:jc w:val="center"/>
              <w:rPr>
                <w:color w:val="000000"/>
                <w:lang w:val="en-GB"/>
              </w:rPr>
            </w:pPr>
            <w:r w:rsidRPr="001201CF">
              <w:rPr>
                <w:color w:val="000000"/>
                <w:lang w:val="en-GB"/>
              </w:rPr>
              <w:t>Figure 3. Heteroscedasticity Test</w:t>
            </w:r>
          </w:p>
          <w:p w14:paraId="3992774E" w14:textId="77777777" w:rsidR="001201CF" w:rsidRPr="001201CF" w:rsidRDefault="001201CF" w:rsidP="001201CF">
            <w:pPr>
              <w:spacing w:after="120"/>
              <w:jc w:val="center"/>
              <w:rPr>
                <w:color w:val="000000"/>
              </w:rPr>
            </w:pPr>
            <w:r w:rsidRPr="001201CF">
              <w:rPr>
                <w:noProof/>
                <w:color w:val="000000"/>
              </w:rPr>
              <w:drawing>
                <wp:inline distT="0" distB="0" distL="0" distR="0" wp14:anchorId="74173A38" wp14:editId="3A2177E5">
                  <wp:extent cx="3476625" cy="2010371"/>
                  <wp:effectExtent l="0" t="0" r="0" b="0"/>
                  <wp:docPr id="20600184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18413" name="Picture 2060018413"/>
                          <pic:cNvPicPr/>
                        </pic:nvPicPr>
                        <pic:blipFill>
                          <a:blip r:embed="rId16">
                            <a:extLst>
                              <a:ext uri="{28A0092B-C50C-407E-A947-70E740481C1C}">
                                <a14:useLocalDpi xmlns:a14="http://schemas.microsoft.com/office/drawing/2010/main"/>
                              </a:ext>
                            </a:extLst>
                          </a:blip>
                          <a:stretch>
                            <a:fillRect/>
                          </a:stretch>
                        </pic:blipFill>
                        <pic:spPr>
                          <a:xfrm>
                            <a:off x="0" y="0"/>
                            <a:ext cx="3476625" cy="2010371"/>
                          </a:xfrm>
                          <a:prstGeom prst="rect">
                            <a:avLst/>
                          </a:prstGeom>
                        </pic:spPr>
                      </pic:pic>
                    </a:graphicData>
                  </a:graphic>
                </wp:inline>
              </w:drawing>
            </w:r>
          </w:p>
          <w:p w14:paraId="42F7B4D7" w14:textId="77777777" w:rsidR="001201CF" w:rsidRPr="001201CF" w:rsidRDefault="001201CF" w:rsidP="001201CF">
            <w:pPr>
              <w:spacing w:after="120"/>
              <w:jc w:val="center"/>
              <w:rPr>
                <w:color w:val="000000"/>
              </w:rPr>
            </w:pPr>
            <w:r w:rsidRPr="001201CF">
              <w:rPr>
                <w:color w:val="000000"/>
                <w:lang w:val="en-GB"/>
              </w:rPr>
              <w:t xml:space="preserve">Resource : </w:t>
            </w:r>
            <w:r w:rsidRPr="001201CF">
              <w:rPr>
                <w:color w:val="000000"/>
              </w:rPr>
              <w:t>Processed IBM SPSS Statistics 25, 2025</w:t>
            </w:r>
          </w:p>
          <w:p w14:paraId="0829F148" w14:textId="3DF65EDA" w:rsidR="001201CF" w:rsidRDefault="001201CF" w:rsidP="001201CF">
            <w:pPr>
              <w:spacing w:after="120"/>
              <w:rPr>
                <w:color w:val="000000"/>
                <w:lang w:val="en-GB"/>
              </w:rPr>
            </w:pPr>
            <w:r w:rsidRPr="001201CF">
              <w:rPr>
                <w:color w:val="000000"/>
                <w:lang w:val="en-GB"/>
              </w:rPr>
              <w:t xml:space="preserve">Based on Figure 1 Scatterplot, the points are spread out and do not form a specific pattern. This means the data are free from heteroscedasticity issues in the regression model using observations from inter-provinces in in </w:t>
            </w:r>
            <w:proofErr w:type="spellStart"/>
            <w:r w:rsidRPr="001201CF">
              <w:rPr>
                <w:color w:val="000000"/>
                <w:lang w:val="en-GB"/>
              </w:rPr>
              <w:t>indonesian</w:t>
            </w:r>
            <w:proofErr w:type="spellEnd"/>
            <w:r w:rsidRPr="001201CF">
              <w:rPr>
                <w:color w:val="000000"/>
                <w:lang w:val="en-GB"/>
              </w:rPr>
              <w:t>. The random distribution of the residuals indicates that the variance of the error terms is relatively constant across different values of the independent variables, allowing the model to meet the heteroscedasticity assumption required for multiple linear regression analysis.</w:t>
            </w:r>
          </w:p>
          <w:p w14:paraId="2FA1A125" w14:textId="77777777" w:rsidR="00090C24" w:rsidRPr="001201CF" w:rsidRDefault="00090C24" w:rsidP="001201CF">
            <w:pPr>
              <w:spacing w:after="120"/>
              <w:rPr>
                <w:color w:val="000000"/>
                <w:lang w:val="en-GB"/>
              </w:rPr>
            </w:pPr>
          </w:p>
          <w:p w14:paraId="4C19FCFF" w14:textId="77777777" w:rsidR="001201CF" w:rsidRPr="001201CF" w:rsidRDefault="001201CF" w:rsidP="001201CF">
            <w:pPr>
              <w:spacing w:after="120"/>
              <w:rPr>
                <w:b/>
                <w:bCs/>
                <w:color w:val="000000"/>
                <w:lang w:val="en-GB"/>
              </w:rPr>
            </w:pPr>
            <w:r w:rsidRPr="001201CF">
              <w:rPr>
                <w:b/>
                <w:bCs/>
                <w:color w:val="000000"/>
                <w:lang w:val="en-GB"/>
              </w:rPr>
              <w:lastRenderedPageBreak/>
              <w:t>Autocorrelation Test</w:t>
            </w:r>
          </w:p>
          <w:p w14:paraId="1C0B9210" w14:textId="77777777" w:rsidR="001201CF" w:rsidRPr="001201CF" w:rsidRDefault="001201CF" w:rsidP="001201CF">
            <w:pPr>
              <w:spacing w:after="120"/>
              <w:jc w:val="center"/>
              <w:rPr>
                <w:color w:val="000000"/>
                <w:lang w:val="en-GB"/>
              </w:rPr>
            </w:pPr>
            <w:r w:rsidRPr="001201CF">
              <w:rPr>
                <w:color w:val="000000"/>
                <w:lang w:val="en-GB"/>
              </w:rPr>
              <w:t>Table 5. Autocorrelation Test</w:t>
            </w:r>
          </w:p>
          <w:tbl>
            <w:tblPr>
              <w:tblStyle w:val="TableGrid"/>
              <w:tblW w:w="0" w:type="auto"/>
              <w:tblInd w:w="10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3638"/>
            </w:tblGrid>
            <w:tr w:rsidR="001201CF" w:rsidRPr="001201CF" w14:paraId="5AC50DCD" w14:textId="77777777" w:rsidTr="00636913">
              <w:trPr>
                <w:trHeight w:val="248"/>
              </w:trPr>
              <w:tc>
                <w:tcPr>
                  <w:tcW w:w="3725" w:type="dxa"/>
                  <w:tcBorders>
                    <w:top w:val="single" w:sz="4" w:space="0" w:color="auto"/>
                    <w:bottom w:val="single" w:sz="4" w:space="0" w:color="auto"/>
                  </w:tcBorders>
                </w:tcPr>
                <w:p w14:paraId="02EF37F9" w14:textId="77777777" w:rsidR="001201CF" w:rsidRPr="001201CF" w:rsidRDefault="001201CF" w:rsidP="001201CF">
                  <w:pPr>
                    <w:spacing w:after="120"/>
                    <w:rPr>
                      <w:b/>
                      <w:bCs/>
                      <w:color w:val="000000"/>
                    </w:rPr>
                  </w:pPr>
                  <w:r w:rsidRPr="001201CF">
                    <w:rPr>
                      <w:b/>
                      <w:bCs/>
                      <w:color w:val="000000"/>
                    </w:rPr>
                    <w:t>Model</w:t>
                  </w:r>
                </w:p>
              </w:tc>
              <w:tc>
                <w:tcPr>
                  <w:tcW w:w="3638" w:type="dxa"/>
                  <w:tcBorders>
                    <w:top w:val="single" w:sz="4" w:space="0" w:color="auto"/>
                    <w:bottom w:val="single" w:sz="4" w:space="0" w:color="auto"/>
                  </w:tcBorders>
                </w:tcPr>
                <w:p w14:paraId="2E42FBDD" w14:textId="77777777" w:rsidR="001201CF" w:rsidRPr="001201CF" w:rsidRDefault="001201CF" w:rsidP="001201CF">
                  <w:pPr>
                    <w:spacing w:after="120"/>
                    <w:rPr>
                      <w:b/>
                      <w:bCs/>
                      <w:color w:val="000000"/>
                    </w:rPr>
                  </w:pPr>
                  <w:proofErr w:type="spellStart"/>
                  <w:r w:rsidRPr="001201CF">
                    <w:rPr>
                      <w:b/>
                      <w:bCs/>
                      <w:color w:val="000000"/>
                    </w:rPr>
                    <w:t>Durbon</w:t>
                  </w:r>
                  <w:proofErr w:type="spellEnd"/>
                  <w:r w:rsidRPr="001201CF">
                    <w:rPr>
                      <w:b/>
                      <w:bCs/>
                      <w:color w:val="000000"/>
                    </w:rPr>
                    <w:t>-Watson</w:t>
                  </w:r>
                </w:p>
              </w:tc>
            </w:tr>
            <w:tr w:rsidR="001201CF" w:rsidRPr="001201CF" w14:paraId="45A71720" w14:textId="77777777" w:rsidTr="00636913">
              <w:trPr>
                <w:trHeight w:val="248"/>
              </w:trPr>
              <w:tc>
                <w:tcPr>
                  <w:tcW w:w="3725" w:type="dxa"/>
                  <w:tcBorders>
                    <w:top w:val="single" w:sz="4" w:space="0" w:color="auto"/>
                  </w:tcBorders>
                </w:tcPr>
                <w:p w14:paraId="54AF4B03" w14:textId="77777777" w:rsidR="001201CF" w:rsidRPr="001201CF" w:rsidRDefault="001201CF" w:rsidP="001201CF">
                  <w:pPr>
                    <w:spacing w:after="120"/>
                    <w:rPr>
                      <w:color w:val="000000"/>
                    </w:rPr>
                  </w:pPr>
                  <w:r w:rsidRPr="001201CF">
                    <w:rPr>
                      <w:color w:val="000000"/>
                    </w:rPr>
                    <w:t>Regression</w:t>
                  </w:r>
                </w:p>
              </w:tc>
              <w:tc>
                <w:tcPr>
                  <w:tcW w:w="3638" w:type="dxa"/>
                  <w:tcBorders>
                    <w:top w:val="single" w:sz="4" w:space="0" w:color="auto"/>
                  </w:tcBorders>
                </w:tcPr>
                <w:p w14:paraId="63DD8E40" w14:textId="77777777" w:rsidR="001201CF" w:rsidRPr="001201CF" w:rsidRDefault="001201CF" w:rsidP="001201CF">
                  <w:pPr>
                    <w:spacing w:after="120"/>
                    <w:rPr>
                      <w:color w:val="000000"/>
                    </w:rPr>
                  </w:pPr>
                  <w:r w:rsidRPr="001201CF">
                    <w:rPr>
                      <w:color w:val="000000"/>
                    </w:rPr>
                    <w:t>0.979</w:t>
                  </w:r>
                </w:p>
              </w:tc>
            </w:tr>
          </w:tbl>
          <w:p w14:paraId="423A9D89" w14:textId="5A2B5E88" w:rsidR="001201CF" w:rsidRPr="001201CF" w:rsidRDefault="001201CF" w:rsidP="001201CF">
            <w:pPr>
              <w:spacing w:after="120"/>
              <w:jc w:val="center"/>
              <w:rPr>
                <w:color w:val="000000"/>
              </w:rPr>
            </w:pPr>
            <w:r w:rsidRPr="001201CF">
              <w:rPr>
                <w:color w:val="000000"/>
                <w:lang w:val="en-GB"/>
              </w:rPr>
              <w:t xml:space="preserve">Resource : </w:t>
            </w:r>
            <w:r w:rsidRPr="001201CF">
              <w:rPr>
                <w:color w:val="000000"/>
              </w:rPr>
              <w:t>Processed IBM SPSS Statistics 25, 2025</w:t>
            </w:r>
          </w:p>
          <w:p w14:paraId="525F6270" w14:textId="4CD664C4" w:rsidR="001201CF" w:rsidRPr="001201CF" w:rsidRDefault="001201CF" w:rsidP="001201CF">
            <w:pPr>
              <w:spacing w:after="120"/>
              <w:rPr>
                <w:color w:val="000000"/>
                <w:lang w:val="en-GB"/>
              </w:rPr>
            </w:pPr>
            <w:r w:rsidRPr="001201CF">
              <w:rPr>
                <w:color w:val="000000"/>
                <w:lang w:val="en-GB"/>
              </w:rPr>
              <w:t>Based on Table 5 Model Summary, the Durbin–Watson value lies between 2 and –2. Since 2 &gt; Durbin–Watson (0.979) &gt; –2, the data are free from autocorrelation problems in the regression model constructed from 38 provincial observations. This indicates that the residuals are not systematically correlated across the ordered data, allowing the regression model to satisfy the autocorrelation assumption required for further analysis.</w:t>
            </w:r>
          </w:p>
          <w:p w14:paraId="30505747" w14:textId="77777777" w:rsidR="001201CF" w:rsidRPr="001201CF" w:rsidRDefault="001201CF" w:rsidP="001201CF">
            <w:pPr>
              <w:spacing w:after="120"/>
              <w:rPr>
                <w:b/>
                <w:bCs/>
                <w:color w:val="000000"/>
                <w:lang w:val="en-GB"/>
              </w:rPr>
            </w:pPr>
            <w:r w:rsidRPr="001201CF">
              <w:rPr>
                <w:b/>
                <w:bCs/>
                <w:color w:val="000000"/>
                <w:lang w:val="en-GB"/>
              </w:rPr>
              <w:t>B. Hypothesis Testing and Coefficient of Determination</w:t>
            </w:r>
          </w:p>
          <w:p w14:paraId="15310A8C" w14:textId="77777777" w:rsidR="001201CF" w:rsidRPr="001201CF" w:rsidRDefault="001201CF" w:rsidP="001201CF">
            <w:pPr>
              <w:spacing w:after="120"/>
              <w:rPr>
                <w:b/>
                <w:bCs/>
                <w:color w:val="000000"/>
                <w:lang w:val="en-GB"/>
              </w:rPr>
            </w:pPr>
            <w:r w:rsidRPr="001201CF">
              <w:rPr>
                <w:b/>
                <w:bCs/>
                <w:color w:val="000000"/>
                <w:lang w:val="id-ID"/>
              </w:rPr>
              <w:t>F-Test (Simultaneous)</w:t>
            </w:r>
          </w:p>
          <w:p w14:paraId="156E68D7" w14:textId="77777777" w:rsidR="001201CF" w:rsidRPr="001201CF" w:rsidRDefault="001201CF" w:rsidP="001201CF">
            <w:pPr>
              <w:spacing w:after="120"/>
              <w:jc w:val="center"/>
              <w:rPr>
                <w:color w:val="000000"/>
                <w:lang w:val="id-ID"/>
              </w:rPr>
            </w:pPr>
            <w:r w:rsidRPr="001201CF">
              <w:rPr>
                <w:color w:val="000000"/>
                <w:lang w:val="id-ID"/>
              </w:rPr>
              <w:t>Table 6. F-Test (Simultaneous)</w:t>
            </w:r>
          </w:p>
          <w:tbl>
            <w:tblPr>
              <w:tblStyle w:val="TableGrid"/>
              <w:tblW w:w="0" w:type="auto"/>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282"/>
              <w:gridCol w:w="2858"/>
              <w:gridCol w:w="2222"/>
            </w:tblGrid>
            <w:tr w:rsidR="001201CF" w:rsidRPr="001201CF" w14:paraId="228EF308" w14:textId="77777777" w:rsidTr="00636913">
              <w:tc>
                <w:tcPr>
                  <w:tcW w:w="2380" w:type="dxa"/>
                  <w:tcBorders>
                    <w:top w:val="single" w:sz="4" w:space="0" w:color="auto"/>
                    <w:bottom w:val="single" w:sz="4" w:space="0" w:color="auto"/>
                  </w:tcBorders>
                </w:tcPr>
                <w:p w14:paraId="47B8BAA0" w14:textId="77777777" w:rsidR="001201CF" w:rsidRPr="001201CF" w:rsidRDefault="001201CF" w:rsidP="001201CF">
                  <w:pPr>
                    <w:spacing w:after="120"/>
                    <w:rPr>
                      <w:b/>
                      <w:bCs/>
                      <w:color w:val="000000"/>
                    </w:rPr>
                  </w:pPr>
                  <w:r w:rsidRPr="001201CF">
                    <w:rPr>
                      <w:b/>
                      <w:bCs/>
                      <w:color w:val="000000"/>
                    </w:rPr>
                    <w:t>Model</w:t>
                  </w:r>
                </w:p>
              </w:tc>
              <w:tc>
                <w:tcPr>
                  <w:tcW w:w="1282" w:type="dxa"/>
                  <w:tcBorders>
                    <w:top w:val="single" w:sz="4" w:space="0" w:color="auto"/>
                    <w:bottom w:val="single" w:sz="4" w:space="0" w:color="auto"/>
                  </w:tcBorders>
                </w:tcPr>
                <w:p w14:paraId="14DC60A6" w14:textId="77777777" w:rsidR="001201CF" w:rsidRPr="001201CF" w:rsidRDefault="001201CF" w:rsidP="001201CF">
                  <w:pPr>
                    <w:spacing w:after="120"/>
                    <w:rPr>
                      <w:b/>
                      <w:bCs/>
                      <w:color w:val="000000"/>
                    </w:rPr>
                  </w:pPr>
                  <w:r w:rsidRPr="001201CF">
                    <w:rPr>
                      <w:b/>
                      <w:bCs/>
                      <w:color w:val="000000"/>
                    </w:rPr>
                    <w:t>df</w:t>
                  </w:r>
                </w:p>
              </w:tc>
              <w:tc>
                <w:tcPr>
                  <w:tcW w:w="2858" w:type="dxa"/>
                  <w:tcBorders>
                    <w:top w:val="single" w:sz="4" w:space="0" w:color="auto"/>
                    <w:bottom w:val="single" w:sz="4" w:space="0" w:color="auto"/>
                  </w:tcBorders>
                </w:tcPr>
                <w:p w14:paraId="65746F95" w14:textId="77777777" w:rsidR="001201CF" w:rsidRPr="001201CF" w:rsidRDefault="001201CF" w:rsidP="001201CF">
                  <w:pPr>
                    <w:spacing w:after="120"/>
                    <w:rPr>
                      <w:b/>
                      <w:bCs/>
                      <w:color w:val="000000"/>
                    </w:rPr>
                  </w:pPr>
                  <w:r w:rsidRPr="001201CF">
                    <w:rPr>
                      <w:b/>
                      <w:bCs/>
                      <w:color w:val="000000"/>
                    </w:rPr>
                    <w:t>F-Score p-value : alfa 5%</w:t>
                  </w:r>
                </w:p>
              </w:tc>
              <w:tc>
                <w:tcPr>
                  <w:tcW w:w="2222" w:type="dxa"/>
                  <w:tcBorders>
                    <w:top w:val="single" w:sz="4" w:space="0" w:color="auto"/>
                    <w:bottom w:val="single" w:sz="4" w:space="0" w:color="auto"/>
                  </w:tcBorders>
                </w:tcPr>
                <w:p w14:paraId="3EE99892" w14:textId="77777777" w:rsidR="001201CF" w:rsidRPr="001201CF" w:rsidRDefault="001201CF" w:rsidP="001201CF">
                  <w:pPr>
                    <w:spacing w:after="120"/>
                    <w:rPr>
                      <w:b/>
                      <w:bCs/>
                      <w:color w:val="000000"/>
                    </w:rPr>
                  </w:pPr>
                  <w:r w:rsidRPr="001201CF">
                    <w:rPr>
                      <w:b/>
                      <w:bCs/>
                      <w:color w:val="000000"/>
                    </w:rPr>
                    <w:t>Sig</w:t>
                  </w:r>
                </w:p>
              </w:tc>
            </w:tr>
            <w:tr w:rsidR="001201CF" w:rsidRPr="001201CF" w14:paraId="1CCA9132" w14:textId="77777777" w:rsidTr="00636913">
              <w:tc>
                <w:tcPr>
                  <w:tcW w:w="2380" w:type="dxa"/>
                  <w:tcBorders>
                    <w:top w:val="single" w:sz="4" w:space="0" w:color="auto"/>
                  </w:tcBorders>
                </w:tcPr>
                <w:p w14:paraId="610E3326" w14:textId="77777777" w:rsidR="001201CF" w:rsidRPr="001201CF" w:rsidRDefault="001201CF" w:rsidP="001201CF">
                  <w:pPr>
                    <w:spacing w:after="120"/>
                    <w:rPr>
                      <w:color w:val="000000"/>
                    </w:rPr>
                  </w:pPr>
                  <w:r w:rsidRPr="001201CF">
                    <w:rPr>
                      <w:color w:val="000000"/>
                    </w:rPr>
                    <w:t>Regression</w:t>
                  </w:r>
                </w:p>
              </w:tc>
              <w:tc>
                <w:tcPr>
                  <w:tcW w:w="1282" w:type="dxa"/>
                  <w:tcBorders>
                    <w:top w:val="single" w:sz="4" w:space="0" w:color="auto"/>
                  </w:tcBorders>
                </w:tcPr>
                <w:p w14:paraId="78CD3050" w14:textId="77777777" w:rsidR="001201CF" w:rsidRPr="001201CF" w:rsidRDefault="001201CF" w:rsidP="001201CF">
                  <w:pPr>
                    <w:spacing w:after="120"/>
                    <w:rPr>
                      <w:color w:val="000000"/>
                    </w:rPr>
                  </w:pPr>
                  <w:r w:rsidRPr="001201CF">
                    <w:rPr>
                      <w:color w:val="000000"/>
                    </w:rPr>
                    <w:t>2</w:t>
                  </w:r>
                </w:p>
              </w:tc>
              <w:tc>
                <w:tcPr>
                  <w:tcW w:w="2858" w:type="dxa"/>
                  <w:tcBorders>
                    <w:top w:val="single" w:sz="4" w:space="0" w:color="auto"/>
                  </w:tcBorders>
                </w:tcPr>
                <w:p w14:paraId="72C36266" w14:textId="77777777" w:rsidR="001201CF" w:rsidRPr="001201CF" w:rsidRDefault="001201CF" w:rsidP="001201CF">
                  <w:pPr>
                    <w:spacing w:after="120"/>
                    <w:rPr>
                      <w:color w:val="000000"/>
                    </w:rPr>
                  </w:pPr>
                  <w:r w:rsidRPr="001201CF">
                    <w:rPr>
                      <w:color w:val="000000"/>
                    </w:rPr>
                    <w:t>42.546</w:t>
                  </w:r>
                </w:p>
              </w:tc>
              <w:tc>
                <w:tcPr>
                  <w:tcW w:w="2222" w:type="dxa"/>
                  <w:tcBorders>
                    <w:top w:val="single" w:sz="4" w:space="0" w:color="auto"/>
                  </w:tcBorders>
                </w:tcPr>
                <w:p w14:paraId="4CA2CE20" w14:textId="77777777" w:rsidR="001201CF" w:rsidRPr="001201CF" w:rsidRDefault="001201CF" w:rsidP="001201CF">
                  <w:pPr>
                    <w:spacing w:after="120"/>
                    <w:rPr>
                      <w:color w:val="000000"/>
                    </w:rPr>
                  </w:pPr>
                  <w:r w:rsidRPr="001201CF">
                    <w:rPr>
                      <w:color w:val="000000"/>
                    </w:rPr>
                    <w:t>0.000</w:t>
                  </w:r>
                </w:p>
              </w:tc>
            </w:tr>
          </w:tbl>
          <w:p w14:paraId="4A834C99" w14:textId="57E4997B" w:rsidR="001201CF" w:rsidRPr="001201CF" w:rsidRDefault="001201CF" w:rsidP="001201CF">
            <w:pPr>
              <w:spacing w:after="120"/>
              <w:jc w:val="center"/>
              <w:rPr>
                <w:color w:val="000000"/>
              </w:rPr>
            </w:pPr>
            <w:r w:rsidRPr="001201CF">
              <w:rPr>
                <w:color w:val="000000"/>
              </w:rPr>
              <w:t>Resource: Processed IBM SPSS Statistics 25, 2025</w:t>
            </w:r>
          </w:p>
          <w:p w14:paraId="04E7EADF" w14:textId="66AFDB03" w:rsidR="001201CF" w:rsidRPr="00090C24" w:rsidRDefault="001201CF" w:rsidP="001201CF">
            <w:pPr>
              <w:spacing w:after="120"/>
              <w:rPr>
                <w:color w:val="000000"/>
              </w:rPr>
            </w:pPr>
            <w:r w:rsidRPr="001201CF">
              <w:rPr>
                <w:color w:val="000000"/>
              </w:rPr>
              <w:t xml:space="preserve">Based on the F-test results in Table 6, the probability value is 0.000, which is smaller than the significance level α = 0.05. This indicates that the regression model consisting of the Provincial Minimum Wage (PMW) and Average Years of Schooling (AYS) variables simultaneously has a significant effect on the Human Development Index (HDI) inter-provinces in </w:t>
            </w:r>
            <w:proofErr w:type="spellStart"/>
            <w:r w:rsidRPr="001201CF">
              <w:rPr>
                <w:color w:val="000000"/>
              </w:rPr>
              <w:t>indonesian</w:t>
            </w:r>
            <w:proofErr w:type="spellEnd"/>
            <w:r w:rsidRPr="001201CF">
              <w:rPr>
                <w:color w:val="000000"/>
              </w:rPr>
              <w:t xml:space="preserve"> analyzed in this study.</w:t>
            </w:r>
            <w:r>
              <w:rPr>
                <w:color w:val="000000"/>
              </w:rPr>
              <w:t xml:space="preserve"> </w:t>
            </w:r>
            <w:r w:rsidRPr="001201CF">
              <w:rPr>
                <w:color w:val="000000"/>
              </w:rPr>
              <w:t>The F-value of 42.546, which is much higher than the critical F-value at the 5% significance level, further supports this result. Thus, it can be concluded that the combination of PMW and AYS variables jointly contributes significantly to the variation in HDI at the interprovincial level, based on the available sample.</w:t>
            </w:r>
          </w:p>
          <w:p w14:paraId="502A23A2" w14:textId="77777777" w:rsidR="001201CF" w:rsidRPr="001201CF" w:rsidRDefault="001201CF" w:rsidP="001201CF">
            <w:pPr>
              <w:spacing w:after="120"/>
              <w:rPr>
                <w:color w:val="000000"/>
              </w:rPr>
            </w:pPr>
            <w:r w:rsidRPr="001201CF">
              <w:rPr>
                <w:b/>
                <w:bCs/>
                <w:color w:val="000000"/>
                <w:lang w:val="en-GB"/>
              </w:rPr>
              <w:t>t-Test (Partial)</w:t>
            </w:r>
          </w:p>
          <w:tbl>
            <w:tblPr>
              <w:tblStyle w:val="TableGrid"/>
              <w:tblpPr w:leftFromText="180" w:rightFromText="180" w:vertAnchor="text" w:horzAnchor="margin" w:tblpXSpec="center" w:tblpY="452"/>
              <w:tblOverlap w:val="never"/>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5"/>
              <w:gridCol w:w="1831"/>
              <w:gridCol w:w="1750"/>
              <w:gridCol w:w="1601"/>
              <w:gridCol w:w="1750"/>
            </w:tblGrid>
            <w:tr w:rsidR="001201CF" w:rsidRPr="001201CF" w14:paraId="6BFA9B24" w14:textId="77777777" w:rsidTr="00636913">
              <w:trPr>
                <w:trHeight w:val="225"/>
              </w:trPr>
              <w:tc>
                <w:tcPr>
                  <w:tcW w:w="1765" w:type="dxa"/>
                  <w:tcBorders>
                    <w:top w:val="single" w:sz="4" w:space="0" w:color="auto"/>
                    <w:bottom w:val="single" w:sz="4" w:space="0" w:color="auto"/>
                  </w:tcBorders>
                </w:tcPr>
                <w:p w14:paraId="7BA5E7A6" w14:textId="77777777" w:rsidR="001201CF" w:rsidRPr="001201CF" w:rsidRDefault="001201CF" w:rsidP="001201CF">
                  <w:pPr>
                    <w:spacing w:after="120"/>
                    <w:rPr>
                      <w:b/>
                      <w:bCs/>
                      <w:color w:val="000000"/>
                    </w:rPr>
                  </w:pPr>
                  <w:r w:rsidRPr="001201CF">
                    <w:rPr>
                      <w:b/>
                      <w:bCs/>
                      <w:color w:val="000000"/>
                    </w:rPr>
                    <w:t>Model</w:t>
                  </w:r>
                </w:p>
              </w:tc>
              <w:tc>
                <w:tcPr>
                  <w:tcW w:w="1831" w:type="dxa"/>
                  <w:tcBorders>
                    <w:top w:val="single" w:sz="4" w:space="0" w:color="auto"/>
                    <w:bottom w:val="single" w:sz="4" w:space="0" w:color="auto"/>
                  </w:tcBorders>
                </w:tcPr>
                <w:p w14:paraId="26B4B76E" w14:textId="77777777" w:rsidR="001201CF" w:rsidRPr="001201CF" w:rsidRDefault="001201CF" w:rsidP="001201CF">
                  <w:pPr>
                    <w:spacing w:after="120"/>
                    <w:rPr>
                      <w:b/>
                      <w:bCs/>
                      <w:color w:val="000000"/>
                    </w:rPr>
                  </w:pPr>
                  <w:proofErr w:type="spellStart"/>
                  <w:r w:rsidRPr="001201CF">
                    <w:rPr>
                      <w:b/>
                      <w:bCs/>
                      <w:color w:val="000000"/>
                    </w:rPr>
                    <w:t>Koefisen</w:t>
                  </w:r>
                  <w:proofErr w:type="spellEnd"/>
                </w:p>
              </w:tc>
              <w:tc>
                <w:tcPr>
                  <w:tcW w:w="1750" w:type="dxa"/>
                  <w:tcBorders>
                    <w:top w:val="single" w:sz="4" w:space="0" w:color="auto"/>
                    <w:bottom w:val="single" w:sz="4" w:space="0" w:color="auto"/>
                  </w:tcBorders>
                </w:tcPr>
                <w:p w14:paraId="7DEDAEA1" w14:textId="77777777" w:rsidR="001201CF" w:rsidRPr="001201CF" w:rsidRDefault="001201CF" w:rsidP="001201CF">
                  <w:pPr>
                    <w:spacing w:after="120"/>
                    <w:rPr>
                      <w:b/>
                      <w:bCs/>
                      <w:color w:val="000000"/>
                    </w:rPr>
                  </w:pPr>
                  <w:r w:rsidRPr="001201CF">
                    <w:rPr>
                      <w:b/>
                      <w:bCs/>
                      <w:color w:val="000000"/>
                    </w:rPr>
                    <w:t>Std. Error</w:t>
                  </w:r>
                </w:p>
              </w:tc>
              <w:tc>
                <w:tcPr>
                  <w:tcW w:w="1601" w:type="dxa"/>
                  <w:tcBorders>
                    <w:top w:val="single" w:sz="4" w:space="0" w:color="auto"/>
                    <w:bottom w:val="single" w:sz="4" w:space="0" w:color="auto"/>
                  </w:tcBorders>
                </w:tcPr>
                <w:p w14:paraId="2251551F" w14:textId="77777777" w:rsidR="001201CF" w:rsidRPr="001201CF" w:rsidRDefault="001201CF" w:rsidP="001201CF">
                  <w:pPr>
                    <w:spacing w:after="120"/>
                    <w:rPr>
                      <w:b/>
                      <w:bCs/>
                      <w:color w:val="000000"/>
                    </w:rPr>
                  </w:pPr>
                  <w:r w:rsidRPr="001201CF">
                    <w:rPr>
                      <w:b/>
                      <w:bCs/>
                      <w:color w:val="000000"/>
                    </w:rPr>
                    <w:t>t</w:t>
                  </w:r>
                </w:p>
              </w:tc>
              <w:tc>
                <w:tcPr>
                  <w:tcW w:w="1750" w:type="dxa"/>
                  <w:tcBorders>
                    <w:top w:val="single" w:sz="4" w:space="0" w:color="auto"/>
                    <w:bottom w:val="single" w:sz="4" w:space="0" w:color="auto"/>
                  </w:tcBorders>
                </w:tcPr>
                <w:p w14:paraId="253B38B1" w14:textId="77777777" w:rsidR="001201CF" w:rsidRPr="001201CF" w:rsidRDefault="001201CF" w:rsidP="001201CF">
                  <w:pPr>
                    <w:spacing w:after="120"/>
                    <w:rPr>
                      <w:b/>
                      <w:bCs/>
                      <w:color w:val="000000"/>
                    </w:rPr>
                  </w:pPr>
                  <w:r w:rsidRPr="001201CF">
                    <w:rPr>
                      <w:b/>
                      <w:bCs/>
                      <w:color w:val="000000"/>
                    </w:rPr>
                    <w:t>Sig.</w:t>
                  </w:r>
                </w:p>
              </w:tc>
            </w:tr>
            <w:tr w:rsidR="001201CF" w:rsidRPr="001201CF" w14:paraId="3DE29F5B" w14:textId="77777777" w:rsidTr="00636913">
              <w:trPr>
                <w:trHeight w:val="225"/>
              </w:trPr>
              <w:tc>
                <w:tcPr>
                  <w:tcW w:w="1765" w:type="dxa"/>
                  <w:tcBorders>
                    <w:top w:val="single" w:sz="4" w:space="0" w:color="auto"/>
                    <w:bottom w:val="nil"/>
                  </w:tcBorders>
                </w:tcPr>
                <w:p w14:paraId="081EA0CE" w14:textId="77777777" w:rsidR="001201CF" w:rsidRPr="001201CF" w:rsidRDefault="001201CF" w:rsidP="001201CF">
                  <w:pPr>
                    <w:spacing w:after="120"/>
                    <w:rPr>
                      <w:color w:val="000000"/>
                    </w:rPr>
                  </w:pPr>
                  <w:r w:rsidRPr="001201CF">
                    <w:rPr>
                      <w:color w:val="000000"/>
                    </w:rPr>
                    <w:t>Constants</w:t>
                  </w:r>
                </w:p>
              </w:tc>
              <w:tc>
                <w:tcPr>
                  <w:tcW w:w="1831" w:type="dxa"/>
                  <w:tcBorders>
                    <w:top w:val="single" w:sz="4" w:space="0" w:color="auto"/>
                    <w:bottom w:val="nil"/>
                  </w:tcBorders>
                </w:tcPr>
                <w:p w14:paraId="1A0BA188" w14:textId="77777777" w:rsidR="001201CF" w:rsidRPr="001201CF" w:rsidRDefault="001201CF" w:rsidP="001201CF">
                  <w:pPr>
                    <w:spacing w:after="120"/>
                    <w:rPr>
                      <w:color w:val="000000"/>
                    </w:rPr>
                  </w:pPr>
                  <w:r w:rsidRPr="001201CF">
                    <w:rPr>
                      <w:color w:val="000000"/>
                    </w:rPr>
                    <w:t>43.659</w:t>
                  </w:r>
                </w:p>
              </w:tc>
              <w:tc>
                <w:tcPr>
                  <w:tcW w:w="1750" w:type="dxa"/>
                  <w:tcBorders>
                    <w:top w:val="single" w:sz="4" w:space="0" w:color="auto"/>
                    <w:bottom w:val="nil"/>
                  </w:tcBorders>
                </w:tcPr>
                <w:p w14:paraId="4B4095B4" w14:textId="77777777" w:rsidR="001201CF" w:rsidRPr="001201CF" w:rsidRDefault="001201CF" w:rsidP="001201CF">
                  <w:pPr>
                    <w:spacing w:after="120"/>
                    <w:rPr>
                      <w:color w:val="000000"/>
                    </w:rPr>
                  </w:pPr>
                  <w:r w:rsidRPr="001201CF">
                    <w:rPr>
                      <w:color w:val="000000"/>
                    </w:rPr>
                    <w:t>4.282</w:t>
                  </w:r>
                </w:p>
              </w:tc>
              <w:tc>
                <w:tcPr>
                  <w:tcW w:w="1601" w:type="dxa"/>
                  <w:tcBorders>
                    <w:top w:val="single" w:sz="4" w:space="0" w:color="auto"/>
                    <w:bottom w:val="nil"/>
                  </w:tcBorders>
                </w:tcPr>
                <w:p w14:paraId="07BBF62E" w14:textId="77777777" w:rsidR="001201CF" w:rsidRPr="001201CF" w:rsidRDefault="001201CF" w:rsidP="001201CF">
                  <w:pPr>
                    <w:spacing w:after="120"/>
                    <w:rPr>
                      <w:color w:val="000000"/>
                    </w:rPr>
                  </w:pPr>
                  <w:r w:rsidRPr="001201CF">
                    <w:rPr>
                      <w:color w:val="000000"/>
                    </w:rPr>
                    <w:t>10.197</w:t>
                  </w:r>
                </w:p>
              </w:tc>
              <w:tc>
                <w:tcPr>
                  <w:tcW w:w="1750" w:type="dxa"/>
                  <w:tcBorders>
                    <w:top w:val="single" w:sz="4" w:space="0" w:color="auto"/>
                    <w:bottom w:val="nil"/>
                  </w:tcBorders>
                </w:tcPr>
                <w:p w14:paraId="50E009BE" w14:textId="77777777" w:rsidR="001201CF" w:rsidRPr="001201CF" w:rsidRDefault="001201CF" w:rsidP="001201CF">
                  <w:pPr>
                    <w:spacing w:after="120"/>
                    <w:rPr>
                      <w:color w:val="000000"/>
                    </w:rPr>
                  </w:pPr>
                  <w:r w:rsidRPr="001201CF">
                    <w:rPr>
                      <w:color w:val="000000"/>
                    </w:rPr>
                    <w:t>0.000</w:t>
                  </w:r>
                </w:p>
              </w:tc>
            </w:tr>
            <w:tr w:rsidR="001201CF" w:rsidRPr="001201CF" w14:paraId="68437C45" w14:textId="77777777" w:rsidTr="00636913">
              <w:trPr>
                <w:trHeight w:val="225"/>
              </w:trPr>
              <w:tc>
                <w:tcPr>
                  <w:tcW w:w="1765" w:type="dxa"/>
                  <w:tcBorders>
                    <w:top w:val="nil"/>
                    <w:bottom w:val="nil"/>
                  </w:tcBorders>
                </w:tcPr>
                <w:p w14:paraId="3A083E06" w14:textId="77777777" w:rsidR="001201CF" w:rsidRPr="001201CF" w:rsidRDefault="001201CF" w:rsidP="001201CF">
                  <w:pPr>
                    <w:spacing w:after="120"/>
                    <w:rPr>
                      <w:color w:val="000000"/>
                    </w:rPr>
                  </w:pPr>
                  <w:r w:rsidRPr="001201CF">
                    <w:rPr>
                      <w:color w:val="000000"/>
                    </w:rPr>
                    <w:t>AYS</w:t>
                  </w:r>
                </w:p>
              </w:tc>
              <w:tc>
                <w:tcPr>
                  <w:tcW w:w="1831" w:type="dxa"/>
                  <w:tcBorders>
                    <w:top w:val="nil"/>
                    <w:bottom w:val="nil"/>
                  </w:tcBorders>
                </w:tcPr>
                <w:p w14:paraId="69404F75" w14:textId="77777777" w:rsidR="001201CF" w:rsidRPr="001201CF" w:rsidRDefault="001201CF" w:rsidP="001201CF">
                  <w:pPr>
                    <w:spacing w:after="120"/>
                    <w:rPr>
                      <w:color w:val="000000"/>
                    </w:rPr>
                  </w:pPr>
                  <w:r w:rsidRPr="001201CF">
                    <w:rPr>
                      <w:color w:val="000000"/>
                    </w:rPr>
                    <w:t>3.715</w:t>
                  </w:r>
                </w:p>
              </w:tc>
              <w:tc>
                <w:tcPr>
                  <w:tcW w:w="1750" w:type="dxa"/>
                  <w:tcBorders>
                    <w:top w:val="nil"/>
                    <w:bottom w:val="nil"/>
                  </w:tcBorders>
                </w:tcPr>
                <w:p w14:paraId="63352F31" w14:textId="77777777" w:rsidR="001201CF" w:rsidRPr="001201CF" w:rsidRDefault="001201CF" w:rsidP="001201CF">
                  <w:pPr>
                    <w:spacing w:after="120"/>
                    <w:rPr>
                      <w:color w:val="000000"/>
                    </w:rPr>
                  </w:pPr>
                  <w:r w:rsidRPr="001201CF">
                    <w:rPr>
                      <w:color w:val="000000"/>
                    </w:rPr>
                    <w:t>0.411</w:t>
                  </w:r>
                </w:p>
              </w:tc>
              <w:tc>
                <w:tcPr>
                  <w:tcW w:w="1601" w:type="dxa"/>
                  <w:tcBorders>
                    <w:top w:val="nil"/>
                    <w:bottom w:val="nil"/>
                  </w:tcBorders>
                </w:tcPr>
                <w:p w14:paraId="0A605607" w14:textId="77777777" w:rsidR="001201CF" w:rsidRPr="001201CF" w:rsidRDefault="001201CF" w:rsidP="001201CF">
                  <w:pPr>
                    <w:spacing w:after="120"/>
                    <w:rPr>
                      <w:color w:val="000000"/>
                    </w:rPr>
                  </w:pPr>
                  <w:r w:rsidRPr="001201CF">
                    <w:rPr>
                      <w:color w:val="000000"/>
                    </w:rPr>
                    <w:t>9.047</w:t>
                  </w:r>
                </w:p>
              </w:tc>
              <w:tc>
                <w:tcPr>
                  <w:tcW w:w="1750" w:type="dxa"/>
                  <w:tcBorders>
                    <w:top w:val="nil"/>
                    <w:bottom w:val="nil"/>
                  </w:tcBorders>
                </w:tcPr>
                <w:p w14:paraId="2CD0FB3F" w14:textId="77777777" w:rsidR="001201CF" w:rsidRPr="001201CF" w:rsidRDefault="001201CF" w:rsidP="001201CF">
                  <w:pPr>
                    <w:spacing w:after="120"/>
                    <w:rPr>
                      <w:color w:val="000000"/>
                    </w:rPr>
                  </w:pPr>
                  <w:r w:rsidRPr="001201CF">
                    <w:rPr>
                      <w:color w:val="000000"/>
                    </w:rPr>
                    <w:t>0.000</w:t>
                  </w:r>
                </w:p>
              </w:tc>
            </w:tr>
            <w:tr w:rsidR="001201CF" w:rsidRPr="001201CF" w14:paraId="7573E186" w14:textId="77777777" w:rsidTr="00636913">
              <w:trPr>
                <w:trHeight w:val="225"/>
              </w:trPr>
              <w:tc>
                <w:tcPr>
                  <w:tcW w:w="1765" w:type="dxa"/>
                  <w:tcBorders>
                    <w:top w:val="nil"/>
                    <w:bottom w:val="single" w:sz="4" w:space="0" w:color="auto"/>
                  </w:tcBorders>
                </w:tcPr>
                <w:p w14:paraId="000361D9" w14:textId="77777777" w:rsidR="001201CF" w:rsidRPr="001201CF" w:rsidRDefault="001201CF" w:rsidP="001201CF">
                  <w:pPr>
                    <w:spacing w:after="120"/>
                    <w:rPr>
                      <w:color w:val="000000"/>
                    </w:rPr>
                  </w:pPr>
                  <w:r w:rsidRPr="001201CF">
                    <w:rPr>
                      <w:color w:val="000000"/>
                    </w:rPr>
                    <w:t>PMW</w:t>
                  </w:r>
                </w:p>
              </w:tc>
              <w:tc>
                <w:tcPr>
                  <w:tcW w:w="1831" w:type="dxa"/>
                  <w:tcBorders>
                    <w:top w:val="nil"/>
                    <w:bottom w:val="single" w:sz="4" w:space="0" w:color="auto"/>
                  </w:tcBorders>
                </w:tcPr>
                <w:p w14:paraId="1CCD8233" w14:textId="77777777" w:rsidR="001201CF" w:rsidRPr="001201CF" w:rsidRDefault="001201CF" w:rsidP="001201CF">
                  <w:pPr>
                    <w:spacing w:after="120"/>
                    <w:rPr>
                      <w:color w:val="000000"/>
                    </w:rPr>
                  </w:pPr>
                  <w:r w:rsidRPr="001201CF">
                    <w:rPr>
                      <w:color w:val="000000"/>
                    </w:rPr>
                    <w:t>-1.850E-6</w:t>
                  </w:r>
                </w:p>
              </w:tc>
              <w:tc>
                <w:tcPr>
                  <w:tcW w:w="1750" w:type="dxa"/>
                  <w:tcBorders>
                    <w:top w:val="nil"/>
                    <w:bottom w:val="single" w:sz="4" w:space="0" w:color="auto"/>
                  </w:tcBorders>
                </w:tcPr>
                <w:p w14:paraId="13089322" w14:textId="77777777" w:rsidR="001201CF" w:rsidRPr="001201CF" w:rsidRDefault="001201CF" w:rsidP="001201CF">
                  <w:pPr>
                    <w:spacing w:after="120"/>
                    <w:rPr>
                      <w:color w:val="000000"/>
                    </w:rPr>
                  </w:pPr>
                  <w:r w:rsidRPr="001201CF">
                    <w:rPr>
                      <w:color w:val="000000"/>
                    </w:rPr>
                    <w:t>0.000</w:t>
                  </w:r>
                </w:p>
              </w:tc>
              <w:tc>
                <w:tcPr>
                  <w:tcW w:w="1601" w:type="dxa"/>
                  <w:tcBorders>
                    <w:top w:val="nil"/>
                    <w:bottom w:val="single" w:sz="4" w:space="0" w:color="auto"/>
                  </w:tcBorders>
                </w:tcPr>
                <w:p w14:paraId="4B012DEB" w14:textId="77777777" w:rsidR="001201CF" w:rsidRPr="001201CF" w:rsidRDefault="001201CF" w:rsidP="001201CF">
                  <w:pPr>
                    <w:spacing w:after="120"/>
                    <w:rPr>
                      <w:color w:val="000000"/>
                    </w:rPr>
                  </w:pPr>
                  <w:r w:rsidRPr="001201CF">
                    <w:rPr>
                      <w:color w:val="000000"/>
                    </w:rPr>
                    <w:t>-2.578</w:t>
                  </w:r>
                </w:p>
              </w:tc>
              <w:tc>
                <w:tcPr>
                  <w:tcW w:w="1750" w:type="dxa"/>
                  <w:tcBorders>
                    <w:top w:val="nil"/>
                    <w:bottom w:val="single" w:sz="4" w:space="0" w:color="auto"/>
                  </w:tcBorders>
                </w:tcPr>
                <w:p w14:paraId="074B7929" w14:textId="77777777" w:rsidR="001201CF" w:rsidRPr="001201CF" w:rsidRDefault="001201CF" w:rsidP="001201CF">
                  <w:pPr>
                    <w:spacing w:after="120"/>
                    <w:rPr>
                      <w:color w:val="000000"/>
                    </w:rPr>
                  </w:pPr>
                  <w:r w:rsidRPr="001201CF">
                    <w:rPr>
                      <w:color w:val="000000"/>
                    </w:rPr>
                    <w:t>0.14</w:t>
                  </w:r>
                </w:p>
              </w:tc>
            </w:tr>
          </w:tbl>
          <w:p w14:paraId="799FC464" w14:textId="77777777" w:rsidR="001201CF" w:rsidRPr="001201CF" w:rsidRDefault="001201CF" w:rsidP="001201CF">
            <w:pPr>
              <w:spacing w:after="120"/>
              <w:jc w:val="center"/>
              <w:rPr>
                <w:color w:val="000000"/>
                <w:lang w:val="en-GB"/>
              </w:rPr>
            </w:pPr>
            <w:r w:rsidRPr="001201CF">
              <w:rPr>
                <w:color w:val="000000"/>
                <w:lang w:val="en-GB"/>
              </w:rPr>
              <w:t>Table 7. t-Test (Partial)</w:t>
            </w:r>
            <w:r w:rsidRPr="001201CF">
              <w:rPr>
                <w:color w:val="000000"/>
                <w:lang w:val="en-GB"/>
              </w:rPr>
              <w:br/>
            </w:r>
            <w:r w:rsidRPr="001201CF">
              <w:rPr>
                <w:color w:val="000000"/>
                <w:lang w:val="id-ID"/>
              </w:rPr>
              <w:t>Resource : Processed IBM SPSS Statistics 25, 2025</w:t>
            </w:r>
          </w:p>
          <w:p w14:paraId="013E3422" w14:textId="77777777" w:rsidR="001201CF" w:rsidRPr="001201CF" w:rsidRDefault="001201CF" w:rsidP="001201CF">
            <w:pPr>
              <w:spacing w:after="120"/>
              <w:rPr>
                <w:color w:val="000000"/>
                <w:lang w:val="id-ID"/>
              </w:rPr>
            </w:pPr>
          </w:p>
          <w:p w14:paraId="4A629CF2" w14:textId="77777777" w:rsidR="001201CF" w:rsidRPr="001201CF" w:rsidRDefault="001201CF" w:rsidP="001201CF">
            <w:pPr>
              <w:spacing w:after="120"/>
              <w:rPr>
                <w:color w:val="000000"/>
                <w:lang w:val="id-ID"/>
              </w:rPr>
            </w:pPr>
            <w:r w:rsidRPr="001201CF">
              <w:rPr>
                <w:color w:val="000000"/>
                <w:lang w:val="id-ID"/>
              </w:rPr>
              <w:t>Based on Table 7, the regression equation from the analysis is as follows:</w:t>
            </w:r>
          </w:p>
          <w:p w14:paraId="442BCA47" w14:textId="77777777" w:rsidR="001201CF" w:rsidRPr="001201CF" w:rsidRDefault="001201CF" w:rsidP="001201CF">
            <w:pPr>
              <w:spacing w:after="120"/>
              <w:rPr>
                <w:color w:val="000000"/>
                <w:lang w:val="id-ID"/>
              </w:rPr>
            </w:pPr>
          </w:p>
          <w:p w14:paraId="5EFBED58" w14:textId="77777777" w:rsidR="001201CF" w:rsidRPr="001201CF" w:rsidRDefault="001201CF" w:rsidP="001201CF">
            <w:pPr>
              <w:spacing w:after="120"/>
              <w:rPr>
                <w:i/>
                <w:iCs/>
                <w:color w:val="000000"/>
              </w:rPr>
            </w:pPr>
            <w:r w:rsidRPr="001201CF">
              <w:rPr>
                <w:i/>
                <w:iCs/>
                <w:color w:val="000000"/>
              </w:rPr>
              <w:t xml:space="preserve">HDIᵢ </w:t>
            </w:r>
            <w:r w:rsidRPr="001201CF">
              <w:rPr>
                <w:color w:val="000000"/>
                <w:lang w:val="id-ID"/>
              </w:rPr>
              <w:t>= 43.659 + 3.715AYS</w:t>
            </w:r>
            <w:r w:rsidRPr="001201CF">
              <w:rPr>
                <w:i/>
                <w:iCs/>
                <w:color w:val="000000"/>
              </w:rPr>
              <w:t>ᵢ</w:t>
            </w:r>
            <w:r w:rsidRPr="001201CF">
              <w:rPr>
                <w:color w:val="000000"/>
                <w:lang w:val="id-ID"/>
              </w:rPr>
              <w:t xml:space="preserve"> - 1.850E-6</w:t>
            </w:r>
            <w:r w:rsidRPr="001201CF">
              <w:rPr>
                <w:i/>
                <w:iCs/>
                <w:color w:val="000000"/>
              </w:rPr>
              <w:t xml:space="preserve"> PMWᵢ</w:t>
            </w:r>
            <w:r w:rsidRPr="001201CF">
              <w:rPr>
                <w:color w:val="000000"/>
                <w:lang w:val="id-ID"/>
              </w:rPr>
              <w:t xml:space="preserve"> + </w:t>
            </w:r>
            <w:r w:rsidRPr="001201CF">
              <w:rPr>
                <w:i/>
                <w:iCs/>
                <w:color w:val="000000"/>
              </w:rPr>
              <w:t>εᵢ</w:t>
            </w:r>
          </w:p>
          <w:p w14:paraId="01CD23DC" w14:textId="77777777" w:rsidR="001201CF" w:rsidRPr="001201CF" w:rsidRDefault="001201CF" w:rsidP="001201CF">
            <w:pPr>
              <w:spacing w:after="120"/>
              <w:rPr>
                <w:i/>
                <w:iCs/>
                <w:color w:val="000000"/>
              </w:rPr>
            </w:pPr>
          </w:p>
          <w:p w14:paraId="35E56F10" w14:textId="242BA24F" w:rsidR="001201CF" w:rsidRPr="001201CF" w:rsidRDefault="009E6851" w:rsidP="001201CF">
            <w:pPr>
              <w:spacing w:after="120"/>
              <w:rPr>
                <w:color w:val="000000"/>
                <w:lang w:val="id-ID"/>
              </w:rPr>
            </w:pPr>
            <m:oMath>
              <m:sSub>
                <m:sSubPr>
                  <m:ctrlPr>
                    <w:rPr>
                      <w:rFonts w:ascii="Cambria Math" w:hAnsi="Cambria Math"/>
                      <w:i/>
                      <w:iCs/>
                      <w:color w:val="000000"/>
                    </w:rPr>
                  </m:ctrlPr>
                </m:sSubPr>
                <m:e>
                  <m:r>
                    <w:rPr>
                      <w:rFonts w:ascii="Cambria Math" w:hAnsi="Cambria Math"/>
                      <w:color w:val="000000"/>
                    </w:rPr>
                    <m:t>β</m:t>
                  </m:r>
                </m:e>
                <m:sub>
                  <m:r>
                    <w:rPr>
                      <w:rFonts w:ascii="Cambria Math" w:hAnsi="Cambria Math"/>
                      <w:color w:val="000000"/>
                    </w:rPr>
                    <m:t>0</m:t>
                  </m:r>
                </m:sub>
              </m:sSub>
              <m:r>
                <w:rPr>
                  <w:rFonts w:ascii="Cambria Math" w:hAnsi="Cambria Math"/>
                  <w:color w:val="000000"/>
                </w:rPr>
                <m:t xml:space="preserve"> </m:t>
              </m:r>
            </m:oMath>
            <w:r w:rsidR="001201CF" w:rsidRPr="001201CF">
              <w:rPr>
                <w:color w:val="000000"/>
                <w:lang w:val="id-ID"/>
              </w:rPr>
              <w:t xml:space="preserve">       = 43.659, meaning that when the independent variables are equal to zero, the value of the dependent variable (HDI) is 43.659%.</w:t>
            </w:r>
          </w:p>
          <w:p w14:paraId="3DE27EE0" w14:textId="77777777" w:rsidR="001201CF" w:rsidRPr="001201CF" w:rsidRDefault="001201CF" w:rsidP="001201CF">
            <w:pPr>
              <w:spacing w:after="120"/>
              <w:rPr>
                <w:color w:val="000000"/>
                <w:lang w:val="id-ID"/>
              </w:rPr>
            </w:pPr>
            <w:r w:rsidRPr="001201CF">
              <w:rPr>
                <w:color w:val="000000"/>
              </w:rPr>
              <w:t>β</w:t>
            </w:r>
            <w:proofErr w:type="gramStart"/>
            <w:r w:rsidRPr="001201CF">
              <w:rPr>
                <w:color w:val="000000"/>
              </w:rPr>
              <w:t>₁</w:t>
            </w:r>
            <w:r w:rsidRPr="001201CF">
              <w:rPr>
                <w:color w:val="000000"/>
                <w:lang w:val="id-ID"/>
              </w:rPr>
              <w:t xml:space="preserve">  =</w:t>
            </w:r>
            <w:proofErr w:type="gramEnd"/>
            <w:r w:rsidRPr="001201CF">
              <w:rPr>
                <w:color w:val="000000"/>
                <w:lang w:val="id-ID"/>
              </w:rPr>
              <w:t xml:space="preserve"> AYS: 3.715, meaning that when AYS increases by 1 percent, HDI increases by 3.715%.</w:t>
            </w:r>
          </w:p>
          <w:p w14:paraId="2B6D4229" w14:textId="0371E260" w:rsidR="001201CF" w:rsidRPr="001201CF" w:rsidRDefault="001201CF" w:rsidP="001201CF">
            <w:pPr>
              <w:spacing w:after="120"/>
              <w:rPr>
                <w:color w:val="000000"/>
                <w:lang w:val="id-ID"/>
              </w:rPr>
            </w:pPr>
            <w:r w:rsidRPr="001201CF">
              <w:rPr>
                <w:color w:val="000000"/>
              </w:rPr>
              <w:t>β</w:t>
            </w:r>
            <w:proofErr w:type="gramStart"/>
            <w:r w:rsidRPr="001201CF">
              <w:rPr>
                <w:color w:val="000000"/>
              </w:rPr>
              <w:t>₂</w:t>
            </w:r>
            <w:r w:rsidRPr="001201CF">
              <w:rPr>
                <w:color w:val="000000"/>
                <w:lang w:val="id-ID"/>
              </w:rPr>
              <w:t xml:space="preserve">  =</w:t>
            </w:r>
            <w:proofErr w:type="gramEnd"/>
            <w:r w:rsidRPr="001201CF">
              <w:rPr>
                <w:color w:val="000000"/>
                <w:lang w:val="id-ID"/>
              </w:rPr>
              <w:t xml:space="preserve"> PMW :- 1.850E-6, meaning that when PMW increases by 1 rupiah, HDI decreases by -1.850E-6%.</w:t>
            </w:r>
          </w:p>
          <w:p w14:paraId="198FD7C5" w14:textId="77777777" w:rsidR="001201CF" w:rsidRPr="001201CF" w:rsidRDefault="001201CF" w:rsidP="001201CF">
            <w:pPr>
              <w:numPr>
                <w:ilvl w:val="0"/>
                <w:numId w:val="10"/>
              </w:numPr>
              <w:spacing w:after="120"/>
              <w:rPr>
                <w:b/>
                <w:bCs/>
                <w:color w:val="000000"/>
                <w:lang w:val="id-ID"/>
              </w:rPr>
            </w:pPr>
            <w:r w:rsidRPr="001201CF">
              <w:rPr>
                <w:b/>
                <w:bCs/>
                <w:color w:val="000000"/>
                <w:lang w:val="id-ID"/>
              </w:rPr>
              <w:t>Effect of Average Years of Schooling (AYS) on Human Development Index (HDI)</w:t>
            </w:r>
          </w:p>
          <w:p w14:paraId="781A1E0D" w14:textId="7E3F05AF" w:rsidR="001201CF" w:rsidRPr="001201CF" w:rsidRDefault="001201CF" w:rsidP="001201CF">
            <w:pPr>
              <w:spacing w:after="120"/>
              <w:rPr>
                <w:color w:val="000000"/>
              </w:rPr>
            </w:pPr>
            <w:r w:rsidRPr="001201CF">
              <w:rPr>
                <w:color w:val="000000"/>
              </w:rPr>
              <w:t xml:space="preserve">Based on the t-test results presented in Table 7, the calculated t-value of 9.047 exceeds the critical t-value of 2.0322, with a significance level of 0.000 &lt; 0.05. This confirms that the Average Years of Schooling (AYS) has a positive and significant effect on the Human Development Index (HDI) in the inter-provinces in </w:t>
            </w:r>
            <w:proofErr w:type="spellStart"/>
            <w:r w:rsidRPr="001201CF">
              <w:rPr>
                <w:color w:val="000000"/>
              </w:rPr>
              <w:t>indonesian</w:t>
            </w:r>
            <w:proofErr w:type="spellEnd"/>
            <w:r w:rsidRPr="001201CF">
              <w:rPr>
                <w:color w:val="000000"/>
              </w:rPr>
              <w:t xml:space="preserve"> analyzed in this study. </w:t>
            </w:r>
            <w:r w:rsidRPr="001201CF">
              <w:rPr>
                <w:color w:val="000000"/>
              </w:rPr>
              <w:lastRenderedPageBreak/>
              <w:t>This implies that as the average duration of schooling attained by the population increases, the HDI of the region likewise improves. Substantively, higher levels of education enhance individuals’ knowledge, skills, and employment opportunities, all of which are essential components of human development.</w:t>
            </w:r>
            <w:r>
              <w:rPr>
                <w:color w:val="000000"/>
              </w:rPr>
              <w:t xml:space="preserve"> </w:t>
            </w:r>
            <w:r w:rsidRPr="001201CF">
              <w:rPr>
                <w:color w:val="000000"/>
              </w:rPr>
              <w:t xml:space="preserve">This finding aligns with the human development framework established by the United Nations Development </w:t>
            </w:r>
            <w:proofErr w:type="spellStart"/>
            <w:r w:rsidRPr="001201CF">
              <w:rPr>
                <w:color w:val="000000"/>
              </w:rPr>
              <w:t>Programme</w:t>
            </w:r>
            <w:proofErr w:type="spellEnd"/>
            <w:r w:rsidRPr="001201CF">
              <w:rPr>
                <w:color w:val="000000"/>
              </w:rPr>
              <w:t xml:space="preserve"> (UNDP), which recognizes education as one of the core dimensions of human well-being. An increase in AYS reflects successful long-term investments in the education sector, which ultimately yield sustainable improvements in HDI. Therefore, policies that prioritize expanding educational access, improving school quality, and strengthening educational equity are strategic and empirically proven pathways to accelerate human development across provinces in Indonesia.</w:t>
            </w:r>
          </w:p>
          <w:p w14:paraId="1CFFD9D4" w14:textId="77777777" w:rsidR="001201CF" w:rsidRPr="001201CF" w:rsidRDefault="001201CF" w:rsidP="001201CF">
            <w:pPr>
              <w:numPr>
                <w:ilvl w:val="0"/>
                <w:numId w:val="10"/>
              </w:numPr>
              <w:spacing w:after="120"/>
              <w:rPr>
                <w:b/>
                <w:bCs/>
                <w:color w:val="000000"/>
                <w:lang w:val="id-ID"/>
              </w:rPr>
            </w:pPr>
            <w:r w:rsidRPr="001201CF">
              <w:rPr>
                <w:b/>
                <w:bCs/>
                <w:color w:val="000000"/>
                <w:lang w:val="id-ID"/>
              </w:rPr>
              <w:t>Effect of Provincial Minimum Wage (PMW) on Human Development Index (HDI)</w:t>
            </w:r>
          </w:p>
          <w:p w14:paraId="22FFAE84" w14:textId="52CA121E" w:rsidR="001201CF" w:rsidRPr="001201CF" w:rsidRDefault="001201CF" w:rsidP="001201CF">
            <w:pPr>
              <w:spacing w:after="120"/>
              <w:rPr>
                <w:color w:val="000000"/>
              </w:rPr>
            </w:pPr>
            <w:r w:rsidRPr="001201CF">
              <w:rPr>
                <w:color w:val="000000"/>
              </w:rPr>
              <w:t>The partial t-test results show a t-value of –2.578 (|–2.578| &gt; 2.0322) with a significance value of 0.014 &lt; 0.05, indicating that PMW also has a significant effect on HDI within the inter-provinces examined. However, the coefficient (β = –1.850E-6) is negative, suggesting a negative relationship between PMW and HDI. Although statistically significant, the magnitude of the coefficient is extremely small.</w:t>
            </w:r>
          </w:p>
          <w:p w14:paraId="5C722BD1" w14:textId="2D25F95E" w:rsidR="001201CF" w:rsidRPr="001201CF" w:rsidRDefault="001201CF" w:rsidP="001201CF">
            <w:pPr>
              <w:spacing w:after="120"/>
              <w:rPr>
                <w:color w:val="000000"/>
              </w:rPr>
            </w:pPr>
            <w:r w:rsidRPr="001201CF">
              <w:rPr>
                <w:color w:val="000000"/>
                <w:lang w:val="id-ID"/>
              </w:rPr>
              <w:t>This negative relationship may reflect economic complexities not captured by the model, such as:</w:t>
            </w:r>
          </w:p>
          <w:p w14:paraId="3818F6C5" w14:textId="77777777" w:rsidR="001201CF" w:rsidRPr="001201CF" w:rsidRDefault="001201CF" w:rsidP="001201CF">
            <w:pPr>
              <w:pStyle w:val="ListParagraph"/>
              <w:numPr>
                <w:ilvl w:val="0"/>
                <w:numId w:val="11"/>
              </w:numPr>
              <w:spacing w:after="120"/>
              <w:rPr>
                <w:color w:val="000000"/>
                <w:lang w:val="id-ID"/>
              </w:rPr>
            </w:pPr>
            <w:r w:rsidRPr="001201CF">
              <w:rPr>
                <w:color w:val="000000"/>
                <w:lang w:val="id-ID"/>
              </w:rPr>
              <w:t xml:space="preserve">Impact on Employment: </w:t>
            </w:r>
          </w:p>
          <w:p w14:paraId="7D900C26" w14:textId="30BFBBAF" w:rsidR="001201CF" w:rsidRPr="001201CF" w:rsidRDefault="001201CF" w:rsidP="001201CF">
            <w:pPr>
              <w:spacing w:after="120"/>
              <w:ind w:left="360"/>
              <w:rPr>
                <w:color w:val="000000"/>
                <w:lang w:val="id-ID"/>
              </w:rPr>
            </w:pPr>
            <w:r w:rsidRPr="001201CF">
              <w:rPr>
                <w:color w:val="000000"/>
                <w:lang w:val="id-ID"/>
              </w:rPr>
              <w:t>Higher PMW may encourage firms, especially in labor-intensive sectors, to reduce their workforce or slow recruitment, potentially affecting income and welfare for certain groups.</w:t>
            </w:r>
          </w:p>
          <w:p w14:paraId="2B5323C9" w14:textId="77777777" w:rsidR="001201CF" w:rsidRPr="001201CF" w:rsidRDefault="001201CF" w:rsidP="001201CF">
            <w:pPr>
              <w:pStyle w:val="ListParagraph"/>
              <w:numPr>
                <w:ilvl w:val="0"/>
                <w:numId w:val="11"/>
              </w:numPr>
              <w:spacing w:after="120"/>
              <w:rPr>
                <w:color w:val="000000"/>
                <w:lang w:val="id-ID"/>
              </w:rPr>
            </w:pPr>
            <w:r w:rsidRPr="001201CF">
              <w:rPr>
                <w:color w:val="000000"/>
                <w:lang w:val="id-ID"/>
              </w:rPr>
              <w:t>Hidden Multicollinearity with Cost-of-Living Factors: Higher PMW often corresponds to higher living costs and inflation, making HDI more sensitive to real purchasing power than nominal wages.</w:t>
            </w:r>
          </w:p>
          <w:p w14:paraId="64B5CDCE" w14:textId="43064003" w:rsidR="001201CF" w:rsidRPr="00090C24" w:rsidRDefault="001201CF" w:rsidP="00090C24">
            <w:pPr>
              <w:spacing w:after="120"/>
              <w:ind w:left="360"/>
              <w:rPr>
                <w:color w:val="000000"/>
                <w:lang w:val="id-ID"/>
              </w:rPr>
            </w:pPr>
            <w:r w:rsidRPr="001201CF">
              <w:rPr>
                <w:color w:val="000000"/>
                <w:lang w:val="id-ID"/>
              </w:rPr>
              <w:t>Although statistically significant, PMW alone is insufficient to improve HDI. HDI improvement must be supported by stronger non-income factors such as AYS and health dimensions. This highlights the need for wage policies to be balanced with efforts to enhance productivity and human capital quality at the provincial level.</w:t>
            </w:r>
          </w:p>
          <w:p w14:paraId="77AC6D9E" w14:textId="2DA545D5" w:rsidR="001201CF" w:rsidRPr="001201CF" w:rsidRDefault="001201CF" w:rsidP="001201CF">
            <w:pPr>
              <w:spacing w:after="120"/>
              <w:rPr>
                <w:b/>
                <w:bCs/>
                <w:color w:val="000000"/>
              </w:rPr>
            </w:pPr>
            <w:r w:rsidRPr="001201CF">
              <w:rPr>
                <w:b/>
                <w:bCs/>
                <w:color w:val="000000"/>
                <w:lang w:val="id-ID"/>
              </w:rPr>
              <w:t>Correlation (r) and Coefficient of Determination (R²)</w:t>
            </w:r>
          </w:p>
          <w:p w14:paraId="2CF642DB" w14:textId="77777777" w:rsidR="001201CF" w:rsidRPr="001201CF" w:rsidRDefault="001201CF" w:rsidP="001201CF">
            <w:pPr>
              <w:spacing w:after="120"/>
              <w:jc w:val="center"/>
              <w:rPr>
                <w:color w:val="000000"/>
                <w:lang w:val="id-ID"/>
              </w:rPr>
            </w:pPr>
            <w:r w:rsidRPr="001201CF">
              <w:rPr>
                <w:color w:val="000000"/>
                <w:lang w:val="id-ID"/>
              </w:rPr>
              <w:t>Table 8. Correlation (r) and Coefficient of Determination (R²)</w:t>
            </w:r>
          </w:p>
          <w:tbl>
            <w:tblPr>
              <w:tblStyle w:val="TableGrid"/>
              <w:tblW w:w="0" w:type="auto"/>
              <w:tblInd w:w="12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302"/>
              <w:gridCol w:w="2303"/>
            </w:tblGrid>
            <w:tr w:rsidR="001201CF" w:rsidRPr="001201CF" w14:paraId="33EE282E" w14:textId="77777777" w:rsidTr="00636913">
              <w:trPr>
                <w:trHeight w:val="250"/>
              </w:trPr>
              <w:tc>
                <w:tcPr>
                  <w:tcW w:w="2302" w:type="dxa"/>
                  <w:tcBorders>
                    <w:top w:val="single" w:sz="4" w:space="0" w:color="auto"/>
                    <w:bottom w:val="single" w:sz="4" w:space="0" w:color="auto"/>
                  </w:tcBorders>
                </w:tcPr>
                <w:p w14:paraId="7E6F9A28" w14:textId="77777777" w:rsidR="001201CF" w:rsidRPr="001201CF" w:rsidRDefault="001201CF" w:rsidP="001201CF">
                  <w:pPr>
                    <w:spacing w:after="120"/>
                    <w:rPr>
                      <w:b/>
                      <w:bCs/>
                      <w:color w:val="000000"/>
                    </w:rPr>
                  </w:pPr>
                  <w:r w:rsidRPr="001201CF">
                    <w:rPr>
                      <w:b/>
                      <w:bCs/>
                      <w:color w:val="000000"/>
                    </w:rPr>
                    <w:t>Model</w:t>
                  </w:r>
                </w:p>
              </w:tc>
              <w:tc>
                <w:tcPr>
                  <w:tcW w:w="2302" w:type="dxa"/>
                  <w:tcBorders>
                    <w:top w:val="single" w:sz="4" w:space="0" w:color="auto"/>
                    <w:bottom w:val="single" w:sz="4" w:space="0" w:color="auto"/>
                  </w:tcBorders>
                </w:tcPr>
                <w:p w14:paraId="1A79DF21" w14:textId="77777777" w:rsidR="001201CF" w:rsidRPr="001201CF" w:rsidRDefault="001201CF" w:rsidP="001201CF">
                  <w:pPr>
                    <w:spacing w:after="120"/>
                    <w:rPr>
                      <w:b/>
                      <w:bCs/>
                      <w:color w:val="000000"/>
                    </w:rPr>
                  </w:pPr>
                  <w:r w:rsidRPr="001201CF">
                    <w:rPr>
                      <w:b/>
                      <w:bCs/>
                      <w:color w:val="000000"/>
                    </w:rPr>
                    <w:t>R</w:t>
                  </w:r>
                </w:p>
              </w:tc>
              <w:tc>
                <w:tcPr>
                  <w:tcW w:w="2303" w:type="dxa"/>
                  <w:tcBorders>
                    <w:top w:val="single" w:sz="4" w:space="0" w:color="auto"/>
                    <w:bottom w:val="single" w:sz="4" w:space="0" w:color="auto"/>
                  </w:tcBorders>
                </w:tcPr>
                <w:p w14:paraId="5071AC5C" w14:textId="77777777" w:rsidR="001201CF" w:rsidRPr="001201CF" w:rsidRDefault="001201CF" w:rsidP="001201CF">
                  <w:pPr>
                    <w:spacing w:after="120"/>
                    <w:rPr>
                      <w:b/>
                      <w:bCs/>
                      <w:color w:val="000000"/>
                    </w:rPr>
                  </w:pPr>
                  <w:r w:rsidRPr="001201CF">
                    <w:rPr>
                      <w:b/>
                      <w:bCs/>
                      <w:color w:val="000000"/>
                    </w:rPr>
                    <w:t>R Square</w:t>
                  </w:r>
                </w:p>
              </w:tc>
            </w:tr>
            <w:tr w:rsidR="001201CF" w:rsidRPr="001201CF" w14:paraId="3AF3E64F" w14:textId="77777777" w:rsidTr="00636913">
              <w:trPr>
                <w:trHeight w:val="250"/>
              </w:trPr>
              <w:tc>
                <w:tcPr>
                  <w:tcW w:w="2302" w:type="dxa"/>
                  <w:tcBorders>
                    <w:top w:val="single" w:sz="4" w:space="0" w:color="auto"/>
                  </w:tcBorders>
                </w:tcPr>
                <w:p w14:paraId="52882F9F" w14:textId="77777777" w:rsidR="001201CF" w:rsidRPr="001201CF" w:rsidRDefault="001201CF" w:rsidP="001201CF">
                  <w:pPr>
                    <w:spacing w:after="120"/>
                    <w:rPr>
                      <w:color w:val="000000"/>
                    </w:rPr>
                  </w:pPr>
                  <w:r w:rsidRPr="001201CF">
                    <w:rPr>
                      <w:color w:val="000000"/>
                    </w:rPr>
                    <w:t>Regression</w:t>
                  </w:r>
                </w:p>
              </w:tc>
              <w:tc>
                <w:tcPr>
                  <w:tcW w:w="2302" w:type="dxa"/>
                  <w:tcBorders>
                    <w:top w:val="single" w:sz="4" w:space="0" w:color="auto"/>
                  </w:tcBorders>
                </w:tcPr>
                <w:p w14:paraId="4D97C878" w14:textId="77777777" w:rsidR="001201CF" w:rsidRPr="001201CF" w:rsidRDefault="001201CF" w:rsidP="001201CF">
                  <w:pPr>
                    <w:spacing w:after="120"/>
                    <w:rPr>
                      <w:color w:val="000000"/>
                    </w:rPr>
                  </w:pPr>
                  <w:r w:rsidRPr="001201CF">
                    <w:rPr>
                      <w:color w:val="000000"/>
                    </w:rPr>
                    <w:t>0.842</w:t>
                  </w:r>
                </w:p>
              </w:tc>
              <w:tc>
                <w:tcPr>
                  <w:tcW w:w="2303" w:type="dxa"/>
                  <w:tcBorders>
                    <w:top w:val="single" w:sz="4" w:space="0" w:color="auto"/>
                  </w:tcBorders>
                </w:tcPr>
                <w:p w14:paraId="52F27809" w14:textId="77777777" w:rsidR="001201CF" w:rsidRPr="001201CF" w:rsidRDefault="001201CF" w:rsidP="001201CF">
                  <w:pPr>
                    <w:spacing w:after="120"/>
                    <w:rPr>
                      <w:color w:val="000000"/>
                    </w:rPr>
                  </w:pPr>
                  <w:r w:rsidRPr="001201CF">
                    <w:rPr>
                      <w:color w:val="000000"/>
                    </w:rPr>
                    <w:t>0.709</w:t>
                  </w:r>
                </w:p>
              </w:tc>
            </w:tr>
          </w:tbl>
          <w:p w14:paraId="39D733E6" w14:textId="77777777" w:rsidR="001201CF" w:rsidRPr="001201CF" w:rsidRDefault="001201CF" w:rsidP="001201CF">
            <w:pPr>
              <w:spacing w:after="120"/>
              <w:rPr>
                <w:color w:val="000000"/>
                <w:lang w:val="id-ID"/>
              </w:rPr>
            </w:pPr>
            <w:r w:rsidRPr="001201CF">
              <w:rPr>
                <w:color w:val="000000"/>
                <w:lang w:val="id-ID"/>
              </w:rPr>
              <w:t>Resource : Processed IBM SPSS Statistics 25, 2025</w:t>
            </w:r>
          </w:p>
          <w:p w14:paraId="4FA6C781" w14:textId="73458B4B" w:rsidR="001201CF" w:rsidRPr="001201CF" w:rsidRDefault="001201CF" w:rsidP="001201CF">
            <w:pPr>
              <w:spacing w:after="120"/>
              <w:rPr>
                <w:color w:val="000000"/>
                <w:lang w:val="id-ID"/>
              </w:rPr>
            </w:pPr>
            <w:r w:rsidRPr="001201CF">
              <w:rPr>
                <w:color w:val="000000"/>
              </w:rPr>
              <w:t>Based on Table 8, the correlation coefficient (R) is 0.842, indicating a strong positive relationship among the Provincial Minimum Wage, Average Years of Schooling, and the Human Development Index in the inter-provinces analyzed in this study. The R² value of 0.709 shows that 70.9% of the variation in HDI is explained by PMW and AYS, while the remaining 29.1% is influenced by other variables not examined in this study.</w:t>
            </w:r>
            <w:r>
              <w:rPr>
                <w:color w:val="000000"/>
              </w:rPr>
              <w:t xml:space="preserve"> </w:t>
            </w:r>
            <w:r w:rsidRPr="001201CF">
              <w:rPr>
                <w:color w:val="000000"/>
              </w:rPr>
              <w:t>These results demonstrate that the regression model has substantial explanatory power at the interprovincial level, although additional socioeconomic factors beyond wages and schooling likely play a significant role in determining HDI differences across provinces.</w:t>
            </w:r>
          </w:p>
        </w:tc>
      </w:tr>
      <w:tr w:rsidR="001201CF" w:rsidRPr="001201CF" w14:paraId="6FBD9090" w14:textId="77777777" w:rsidTr="001201CF">
        <w:trPr>
          <w:trHeight w:val="323"/>
        </w:trPr>
        <w:tc>
          <w:tcPr>
            <w:tcW w:w="9711" w:type="dxa"/>
          </w:tcPr>
          <w:p w14:paraId="26DC628D" w14:textId="77777777" w:rsidR="001201CF" w:rsidRPr="001201CF" w:rsidRDefault="001201CF" w:rsidP="00090C24">
            <w:pPr>
              <w:spacing w:after="0"/>
              <w:rPr>
                <w:b/>
                <w:bCs/>
                <w:color w:val="000000"/>
              </w:rPr>
            </w:pPr>
          </w:p>
        </w:tc>
      </w:tr>
    </w:tbl>
    <w:bookmarkEnd w:id="2"/>
    <w:p w14:paraId="4759B08F" w14:textId="49038988" w:rsidR="00DF0BEE" w:rsidRDefault="00DF0BEE" w:rsidP="00090C24">
      <w:pPr>
        <w:pStyle w:val="Heading1"/>
        <w:tabs>
          <w:tab w:val="left" w:pos="284"/>
        </w:tabs>
        <w:spacing w:before="0"/>
      </w:pPr>
      <w:r>
        <w:t xml:space="preserve">4. </w:t>
      </w:r>
      <w:r>
        <w:tab/>
      </w:r>
      <w:r w:rsidR="00DD61AF" w:rsidRPr="00CA2057">
        <w:rPr>
          <w:lang w:val="en"/>
        </w:rPr>
        <w:t>Conclusion</w:t>
      </w:r>
    </w:p>
    <w:p w14:paraId="4746C594" w14:textId="4B24BB13" w:rsidR="001201CF" w:rsidRPr="001201CF" w:rsidRDefault="001201CF" w:rsidP="001201CF">
      <w:pPr>
        <w:rPr>
          <w:rFonts w:eastAsia="Times New Roman"/>
          <w:szCs w:val="28"/>
        </w:rPr>
      </w:pPr>
      <w:r w:rsidRPr="001201CF">
        <w:rPr>
          <w:rFonts w:eastAsia="Times New Roman"/>
          <w:szCs w:val="28"/>
        </w:rPr>
        <w:t>This study, conducted in 2024, shows that Average Years of Schooling (AYS) and Provincial Minimum Wage (PMW) simultaneously have a significant effect on the Human Development Index (HDI) inter-provinces in Indonesia. These findings affirm that both variables play an important role in shaping human development within the inter-provincial context, indicating that education and wage policies must be viewed as complementary instruments in improving social welfare. Partially, Average Years of Schooling has a positive and significant effect on the HDI. This means that higher educational attainment in a province leads to better human development outcomes. Conversely, the Provincial Minimum Wage also shows a significant effect, but its negative direction suggests that wage policies at the provincial level do not automatically improve the quality of life without adequate productivity and equitable economic conditions. Overall, the findings the inter-provinces confirm that improving human development in Indonesia in 2024 requires strategies prioritizing educational equity and human capital strengthening, alongside wage adjustment strategies aligned with the economic capacity and societal needs of each respective province.</w:t>
      </w:r>
    </w:p>
    <w:p w14:paraId="5E74C680" w14:textId="77777777" w:rsidR="00A11036" w:rsidRPr="00CA2057" w:rsidRDefault="00A11036" w:rsidP="00A11036">
      <w:pPr>
        <w:pStyle w:val="Heading1"/>
        <w:tabs>
          <w:tab w:val="left" w:pos="284"/>
        </w:tabs>
      </w:pPr>
      <w:r w:rsidRPr="006A7A66">
        <w:lastRenderedPageBreak/>
        <w:t>Reference</w:t>
      </w:r>
    </w:p>
    <w:p w14:paraId="727994F0" w14:textId="77777777" w:rsidR="001201CF" w:rsidRPr="001201CF" w:rsidRDefault="001201CF" w:rsidP="001201CF">
      <w:pPr>
        <w:pStyle w:val="Rujukan"/>
        <w:numPr>
          <w:ilvl w:val="0"/>
          <w:numId w:val="12"/>
        </w:numPr>
      </w:pPr>
      <w:r w:rsidRPr="001201CF">
        <w:fldChar w:fldCharType="begin" w:fldLock="1"/>
      </w:r>
      <w:r w:rsidRPr="001201CF">
        <w:instrText xml:space="preserve">ADDIN Mendeley Bibliography CSL_BIBLIOGRAPHY </w:instrText>
      </w:r>
      <w:r w:rsidRPr="001201CF">
        <w:fldChar w:fldCharType="separate"/>
      </w:r>
      <w:r w:rsidRPr="001201CF">
        <w:t>Agustina, N. laras. (2019). No Tit</w:t>
      </w:r>
      <w:r w:rsidRPr="001201CF">
        <w:rPr>
          <w:rtl/>
          <w:lang w:bidi="he-IL"/>
        </w:rPr>
        <w:t>ילי</w:t>
      </w:r>
      <w:r w:rsidRPr="001201CF">
        <w:t xml:space="preserve">le. </w:t>
      </w:r>
      <w:r w:rsidRPr="001201CF">
        <w:rPr>
          <w:rFonts w:ascii="MS Gothic" w:eastAsia="MS Gothic" w:hAnsi="MS Gothic" w:cs="MS Gothic" w:hint="eastAsia"/>
        </w:rPr>
        <w:t>ペインクリニック学会治療指針２</w:t>
      </w:r>
      <w:r w:rsidRPr="001201CF">
        <w:t>, 1–9.</w:t>
      </w:r>
    </w:p>
    <w:p w14:paraId="3D53B4F2" w14:textId="77777777" w:rsidR="001201CF" w:rsidRPr="001201CF" w:rsidRDefault="001201CF" w:rsidP="001201CF">
      <w:pPr>
        <w:pStyle w:val="Rujukan"/>
        <w:numPr>
          <w:ilvl w:val="0"/>
          <w:numId w:val="12"/>
        </w:numPr>
      </w:pPr>
      <w:r w:rsidRPr="001201CF">
        <w:t xml:space="preserve">Azahrah, T., Bella, S., Martodiryo, S., Permatasari, M. A., Nicky, M. F., &amp; Ratumbuysang, G. (2025). </w:t>
      </w:r>
      <w:r w:rsidRPr="001201CF">
        <w:rPr>
          <w:i/>
          <w:iCs/>
        </w:rPr>
        <w:t>ANALISIS RATA-RATA LAMA SEKOLAH DAN PENGELUARAN PER KAPITA SEBAGAI PEMBENTUK INDEKS PEMBANGUNAN MANUSIA ( IPM ) DI KABUPATEN</w:t>
      </w:r>
      <w:r w:rsidRPr="001201CF">
        <w:t xml:space="preserve">. </w:t>
      </w:r>
      <w:r w:rsidRPr="001201CF">
        <w:rPr>
          <w:i/>
          <w:iCs/>
        </w:rPr>
        <w:t>13</w:t>
      </w:r>
      <w:r w:rsidRPr="001201CF">
        <w:t>(3), 225–233.</w:t>
      </w:r>
    </w:p>
    <w:p w14:paraId="4F518832" w14:textId="77777777" w:rsidR="001201CF" w:rsidRDefault="001201CF" w:rsidP="001201CF">
      <w:pPr>
        <w:pStyle w:val="Rujukan"/>
        <w:numPr>
          <w:ilvl w:val="0"/>
          <w:numId w:val="12"/>
        </w:numPr>
      </w:pPr>
      <w:r w:rsidRPr="001201CF">
        <w:t xml:space="preserve">Bank, W. (n.d.). </w:t>
      </w:r>
      <w:r w:rsidRPr="001201CF">
        <w:rPr>
          <w:i/>
          <w:iCs/>
        </w:rPr>
        <w:t>The Developed and Developing World Income</w:t>
      </w:r>
      <w:r w:rsidRPr="001201CF">
        <w:t>.</w:t>
      </w:r>
    </w:p>
    <w:p w14:paraId="17946D61" w14:textId="7FBF46D9" w:rsidR="00A55A08" w:rsidRPr="001201CF" w:rsidRDefault="00A55A08" w:rsidP="00A55A08">
      <w:pPr>
        <w:pStyle w:val="Rujukan"/>
        <w:numPr>
          <w:ilvl w:val="0"/>
          <w:numId w:val="12"/>
        </w:numPr>
      </w:pPr>
      <w:r w:rsidRPr="00A55A08">
        <w:t>Cahyanti, S. A., &amp; Fevriera, S. (2020). The Effect of Regional Minimum Wage and Inflation on HDI in Central Java. </w:t>
      </w:r>
      <w:r w:rsidRPr="00A55A08">
        <w:rPr>
          <w:i/>
          <w:iCs/>
        </w:rPr>
        <w:t>Jurnal Ekonomi Pembangunan</w:t>
      </w:r>
      <w:r w:rsidRPr="00A55A08">
        <w:t>, </w:t>
      </w:r>
      <w:r w:rsidRPr="00A55A08">
        <w:rPr>
          <w:i/>
          <w:iCs/>
        </w:rPr>
        <w:t>18</w:t>
      </w:r>
      <w:r w:rsidRPr="00A55A08">
        <w:t>(2), 152-167.</w:t>
      </w:r>
    </w:p>
    <w:p w14:paraId="05E2CFAB" w14:textId="77777777" w:rsidR="001201CF" w:rsidRDefault="001201CF" w:rsidP="001201CF">
      <w:pPr>
        <w:pStyle w:val="Rujukan"/>
        <w:numPr>
          <w:ilvl w:val="0"/>
          <w:numId w:val="12"/>
        </w:numPr>
      </w:pPr>
      <w:r w:rsidRPr="001201CF">
        <w:t xml:space="preserve">Computing, M. (2008). </w:t>
      </w:r>
      <w:r w:rsidRPr="001201CF">
        <w:rPr>
          <w:i/>
          <w:iCs/>
        </w:rPr>
        <w:t>I n d i a n a U n i v e r s i t y University Information Technology Services Univariate Analysis and Normality Test Using SAS , Stata ,</w:t>
      </w:r>
      <w:r w:rsidRPr="001201CF">
        <w:t>.</w:t>
      </w:r>
    </w:p>
    <w:p w14:paraId="1B9EA76E" w14:textId="720A866D" w:rsidR="00A55A08" w:rsidRPr="001201CF" w:rsidRDefault="00A55A08" w:rsidP="00A55A08">
      <w:pPr>
        <w:pStyle w:val="Rujukan"/>
        <w:numPr>
          <w:ilvl w:val="0"/>
          <w:numId w:val="12"/>
        </w:numPr>
      </w:pPr>
      <w:r w:rsidRPr="00A55A08">
        <w:t>Irawan, T., &amp; Khoirudin, R. (2024). The Impact of Human Development Index, Minimum Wage, Labor Force Participation Rate, and Open Unemployment Rate on Economic Growth. </w:t>
      </w:r>
      <w:r w:rsidRPr="00A55A08">
        <w:rPr>
          <w:i/>
          <w:iCs/>
        </w:rPr>
        <w:t>Journal of Management Studies and Development</w:t>
      </w:r>
      <w:r w:rsidRPr="00A55A08">
        <w:t>, </w:t>
      </w:r>
      <w:r w:rsidRPr="00A55A08">
        <w:rPr>
          <w:i/>
          <w:iCs/>
        </w:rPr>
        <w:t>3</w:t>
      </w:r>
      <w:r w:rsidRPr="00A55A08">
        <w:t>(01), 56-68.</w:t>
      </w:r>
    </w:p>
    <w:p w14:paraId="69457D01" w14:textId="77777777" w:rsidR="001201CF" w:rsidRPr="001201CF" w:rsidRDefault="001201CF" w:rsidP="001201CF">
      <w:pPr>
        <w:pStyle w:val="Rujukan"/>
        <w:numPr>
          <w:ilvl w:val="0"/>
          <w:numId w:val="12"/>
        </w:numPr>
      </w:pPr>
      <w:r w:rsidRPr="001201CF">
        <w:t xml:space="preserve">Julianti, S. M., &amp; Sukarniati, L. (2022). </w:t>
      </w:r>
      <w:r w:rsidRPr="001201CF">
        <w:rPr>
          <w:i/>
          <w:iCs/>
        </w:rPr>
        <w:t>ANALISIS DETERMINAN INDEKS PEMBANGUNAN MANUSIA MENGGUNAKAN VARIABEL MAKROEKONOMI ( STUDI KASUS 34 PROVINSI DI INDONESIA TAHUN 2019-2021 )</w:t>
      </w:r>
      <w:r w:rsidRPr="001201CF">
        <w:t xml:space="preserve">. </w:t>
      </w:r>
      <w:r w:rsidRPr="001201CF">
        <w:rPr>
          <w:i/>
          <w:iCs/>
        </w:rPr>
        <w:t>1</w:t>
      </w:r>
      <w:r w:rsidRPr="001201CF">
        <w:t>(2), 96–109.</w:t>
      </w:r>
    </w:p>
    <w:p w14:paraId="29D97DCF" w14:textId="77777777" w:rsidR="001201CF" w:rsidRDefault="001201CF" w:rsidP="001201CF">
      <w:pPr>
        <w:pStyle w:val="Rujukan"/>
        <w:numPr>
          <w:ilvl w:val="0"/>
          <w:numId w:val="12"/>
        </w:numPr>
      </w:pPr>
      <w:r w:rsidRPr="001201CF">
        <w:t xml:space="preserve">Kafle, S. C. (2014). </w:t>
      </w:r>
      <w:r w:rsidRPr="001201CF">
        <w:rPr>
          <w:i/>
          <w:iCs/>
        </w:rPr>
        <w:t>Correlation and Regression Analysis Using SPSS</w:t>
      </w:r>
      <w:r w:rsidRPr="001201CF">
        <w:t>. 126–132.</w:t>
      </w:r>
    </w:p>
    <w:p w14:paraId="553BD2A7" w14:textId="01D18158" w:rsidR="00A55A08" w:rsidRPr="001201CF" w:rsidRDefault="00A55A08" w:rsidP="00A55A08">
      <w:pPr>
        <w:pStyle w:val="Rujukan"/>
        <w:numPr>
          <w:ilvl w:val="0"/>
          <w:numId w:val="12"/>
        </w:numPr>
      </w:pPr>
      <w:r w:rsidRPr="00A55A08">
        <w:t>Kurnia, C. L. (2024). Analysis Influence Human Development Index, Regional Minimum Wages and Economic Growth Against Labor Absorption in East Java Province 2013-2022. </w:t>
      </w:r>
      <w:r w:rsidRPr="00A55A08">
        <w:rPr>
          <w:i/>
          <w:iCs/>
        </w:rPr>
        <w:t>Jurnal Ilmu Ekonomi JIE</w:t>
      </w:r>
      <w:r w:rsidRPr="00A55A08">
        <w:t>, </w:t>
      </w:r>
      <w:r w:rsidRPr="00A55A08">
        <w:rPr>
          <w:i/>
          <w:iCs/>
        </w:rPr>
        <w:t>8</w:t>
      </w:r>
      <w:r w:rsidRPr="00A55A08">
        <w:t>(04), 386-397.</w:t>
      </w:r>
    </w:p>
    <w:p w14:paraId="17BC3E00" w14:textId="77777777" w:rsidR="001201CF" w:rsidRDefault="001201CF" w:rsidP="001201CF">
      <w:pPr>
        <w:pStyle w:val="Rujukan"/>
        <w:numPr>
          <w:ilvl w:val="0"/>
          <w:numId w:val="12"/>
        </w:numPr>
      </w:pPr>
      <w:r w:rsidRPr="001201CF">
        <w:t xml:space="preserve">Mailadani, D. A., &amp; Rosintan, L. (2024). </w:t>
      </w:r>
      <w:r w:rsidRPr="001201CF">
        <w:rPr>
          <w:i/>
          <w:iCs/>
        </w:rPr>
        <w:t>Determinan Indeks Pembangunan Manusia ( IPM ) di Indonesia Tahun 1990-2021 Determinants of The Human Development Index ( HDI ) In Indonesia ,</w:t>
      </w:r>
      <w:r w:rsidRPr="001201CF">
        <w:t xml:space="preserve">. </w:t>
      </w:r>
      <w:r w:rsidRPr="001201CF">
        <w:rPr>
          <w:i/>
          <w:iCs/>
        </w:rPr>
        <w:t>24</w:t>
      </w:r>
      <w:r w:rsidRPr="001201CF">
        <w:t>(1), 1–9.</w:t>
      </w:r>
    </w:p>
    <w:p w14:paraId="3D7CCFD3" w14:textId="15012617" w:rsidR="00A55A08" w:rsidRPr="001201CF" w:rsidRDefault="00A55A08" w:rsidP="00A55A08">
      <w:pPr>
        <w:pStyle w:val="Rujukan"/>
        <w:numPr>
          <w:ilvl w:val="0"/>
          <w:numId w:val="12"/>
        </w:numPr>
      </w:pPr>
      <w:r w:rsidRPr="00A55A08">
        <w:t>Mersiana, B. (2019). Analysis Of The Effect Of Gross Regional Domestic Product, Education, Open Unemployment, Minimum Wages And Human Development Index On Poverty Of West Nusa Tenggara Province In 2012-2017 (Case Study Of 10 Districts/Cities). </w:t>
      </w:r>
      <w:r w:rsidRPr="00A55A08">
        <w:rPr>
          <w:i/>
          <w:iCs/>
        </w:rPr>
        <w:t>Jurnal Ilmiah Mahasiswa FEB</w:t>
      </w:r>
      <w:r w:rsidRPr="00A55A08">
        <w:t>, </w:t>
      </w:r>
      <w:r w:rsidRPr="00A55A08">
        <w:rPr>
          <w:i/>
          <w:iCs/>
        </w:rPr>
        <w:t>8</w:t>
      </w:r>
      <w:r w:rsidRPr="00A55A08">
        <w:t>(2).</w:t>
      </w:r>
    </w:p>
    <w:p w14:paraId="2BA34AA3" w14:textId="77777777" w:rsidR="001201CF" w:rsidRPr="001201CF" w:rsidRDefault="001201CF" w:rsidP="001201CF">
      <w:pPr>
        <w:pStyle w:val="Rujukan"/>
        <w:numPr>
          <w:ilvl w:val="0"/>
          <w:numId w:val="12"/>
        </w:numPr>
      </w:pPr>
      <w:r w:rsidRPr="001201CF">
        <w:t xml:space="preserve">Neumark, D. (n.d.). </w:t>
      </w:r>
      <w:r w:rsidRPr="001201CF">
        <w:rPr>
          <w:i/>
          <w:iCs/>
        </w:rPr>
        <w:t>Minimum Wages and Minimum Wages and Employment</w:t>
      </w:r>
      <w:r w:rsidRPr="001201CF">
        <w:t>.</w:t>
      </w:r>
    </w:p>
    <w:p w14:paraId="32731161" w14:textId="77777777" w:rsidR="001201CF" w:rsidRPr="001201CF" w:rsidRDefault="001201CF" w:rsidP="001201CF">
      <w:pPr>
        <w:pStyle w:val="Rujukan"/>
        <w:numPr>
          <w:ilvl w:val="0"/>
          <w:numId w:val="12"/>
        </w:numPr>
      </w:pPr>
      <w:r w:rsidRPr="001201CF">
        <w:t xml:space="preserve">Sabihi, D. M., Kumenaung, A. G., Niode, A. O., Kunci, K., &amp; Sabihi, D. M. (2021). </w:t>
      </w:r>
      <w:r w:rsidRPr="001201CF">
        <w:rPr>
          <w:i/>
          <w:iCs/>
        </w:rPr>
        <w:t>Jurnal Berkala Ilmiah Efisiensi Volume 21 No . 01 Juli 2021 PENGARUH UPAH MINIMUM PROVINSI , INVESTASI DAN PERTUMBUHAN EKONOMI TERHADAP PENYERAPAN TENAGA KERJA DI KOTA MANADO Jurusan Ekonomi Pembangunan , Fakultas Ekonomi dan Bisnis Universitas Sam Ratulangi , Manado 95115 , Indonesia Email : dewisabihi@gmail.com Jurnal Berkala Ilmiah Efisiensi Dewi M . Sabihi</w:t>
      </w:r>
      <w:r w:rsidRPr="001201CF">
        <w:t xml:space="preserve">. </w:t>
      </w:r>
      <w:r w:rsidRPr="001201CF">
        <w:rPr>
          <w:i/>
          <w:iCs/>
        </w:rPr>
        <w:t>21</w:t>
      </w:r>
      <w:r w:rsidRPr="001201CF">
        <w:t>(01), 25–36.</w:t>
      </w:r>
    </w:p>
    <w:p w14:paraId="036E78A1" w14:textId="77777777" w:rsidR="001201CF" w:rsidRPr="001201CF" w:rsidRDefault="001201CF" w:rsidP="001201CF">
      <w:pPr>
        <w:pStyle w:val="Rujukan"/>
        <w:numPr>
          <w:ilvl w:val="0"/>
          <w:numId w:val="12"/>
        </w:numPr>
      </w:pPr>
      <w:r w:rsidRPr="001201CF">
        <w:rPr>
          <w:i/>
          <w:iCs/>
        </w:rPr>
        <w:t>Uji asumsi klasik</w:t>
      </w:r>
      <w:r w:rsidRPr="001201CF">
        <w:t>. (1994).</w:t>
      </w:r>
    </w:p>
    <w:p w14:paraId="4016696B" w14:textId="77777777" w:rsidR="001201CF" w:rsidRPr="001201CF" w:rsidRDefault="001201CF" w:rsidP="001201CF">
      <w:pPr>
        <w:pStyle w:val="Rujukan"/>
        <w:numPr>
          <w:ilvl w:val="0"/>
          <w:numId w:val="12"/>
        </w:numPr>
      </w:pPr>
      <w:r w:rsidRPr="001201CF">
        <w:t xml:space="preserve">Yusuf, M., Lihawa, F., &amp; Baderan, D. W. K. (2024). Kajian Indeks Pembangunan Manusia sebagai Indikator Pengukuran Kualitas Sumber Daya Manusia di Provinsi Gorontalo Institusi Program Studi Magister Kependudukan dan Lingkungan Hidup Universitas Negeri. </w:t>
      </w:r>
      <w:r w:rsidRPr="001201CF">
        <w:rPr>
          <w:i/>
          <w:iCs/>
        </w:rPr>
        <w:t>Jurnal Wilayah, Kota Dan Lingkungan Berkelanjutan</w:t>
      </w:r>
      <w:r w:rsidRPr="001201CF">
        <w:t xml:space="preserve">, </w:t>
      </w:r>
      <w:r w:rsidRPr="001201CF">
        <w:rPr>
          <w:i/>
          <w:iCs/>
        </w:rPr>
        <w:t>3</w:t>
      </w:r>
      <w:r w:rsidRPr="001201CF">
        <w:t>(2), 262–273.</w:t>
      </w:r>
    </w:p>
    <w:p w14:paraId="3371E7C9" w14:textId="2EE264D5" w:rsidR="001201CF" w:rsidRDefault="001201CF" w:rsidP="001201CF">
      <w:pPr>
        <w:pStyle w:val="Rujukan"/>
        <w:numPr>
          <w:ilvl w:val="0"/>
          <w:numId w:val="12"/>
        </w:numPr>
      </w:pPr>
      <w:r w:rsidRPr="001201CF">
        <w:fldChar w:fldCharType="end"/>
      </w:r>
      <w:r w:rsidRPr="001201CF">
        <w:t xml:space="preserve">Widodo, P., Irawan, L. A., </w:t>
      </w:r>
      <w:proofErr w:type="spellStart"/>
      <w:r w:rsidRPr="001201CF">
        <w:t>Oktavianti</w:t>
      </w:r>
      <w:proofErr w:type="spellEnd"/>
      <w:r w:rsidRPr="001201CF">
        <w:t>, I. N., &amp; Anisa, L. (2020). Government spending on education, health, and minimum wages as predictors of human development index: Study of selected provinces of Indonesia. </w:t>
      </w:r>
      <w:r w:rsidRPr="001201CF">
        <w:rPr>
          <w:i/>
          <w:iCs/>
        </w:rPr>
        <w:t>International Journal of Advanced Economics</w:t>
      </w:r>
      <w:r w:rsidRPr="001201CF">
        <w:t>, </w:t>
      </w:r>
      <w:r w:rsidRPr="001201CF">
        <w:rPr>
          <w:i/>
          <w:iCs/>
        </w:rPr>
        <w:t>1</w:t>
      </w:r>
      <w:r w:rsidRPr="001201CF">
        <w:t>(2), 95-101.</w:t>
      </w:r>
    </w:p>
    <w:p w14:paraId="65FDF033" w14:textId="0FB31330" w:rsidR="00A55A08" w:rsidRPr="001201CF" w:rsidRDefault="00A55A08" w:rsidP="00A55A08">
      <w:pPr>
        <w:pStyle w:val="Rujukan"/>
        <w:numPr>
          <w:ilvl w:val="0"/>
          <w:numId w:val="12"/>
        </w:numPr>
      </w:pPr>
      <w:proofErr w:type="spellStart"/>
      <w:r w:rsidRPr="00A55A08">
        <w:t>Zulha</w:t>
      </w:r>
      <w:proofErr w:type="spellEnd"/>
      <w:r w:rsidRPr="00A55A08">
        <w:t xml:space="preserve">, A. M., Silvia, V., &amp; Abrar, M. (2024). Does Economic Growth Interact With The Basic Sector, Human Development, and Provincial Minimum Wage on Poverty in Sumatra Island </w:t>
      </w:r>
      <w:proofErr w:type="gramStart"/>
      <w:r w:rsidRPr="00A55A08">
        <w:t>Provinces?.</w:t>
      </w:r>
      <w:proofErr w:type="gramEnd"/>
      <w:r w:rsidRPr="00A55A08">
        <w:t> </w:t>
      </w:r>
      <w:proofErr w:type="spellStart"/>
      <w:r w:rsidRPr="00A55A08">
        <w:rPr>
          <w:i/>
          <w:iCs/>
        </w:rPr>
        <w:t>Inkubis</w:t>
      </w:r>
      <w:proofErr w:type="spellEnd"/>
      <w:r w:rsidRPr="00A55A08">
        <w:rPr>
          <w:i/>
          <w:iCs/>
        </w:rPr>
        <w:t xml:space="preserve">: </w:t>
      </w:r>
      <w:proofErr w:type="spellStart"/>
      <w:r w:rsidRPr="00A55A08">
        <w:rPr>
          <w:i/>
          <w:iCs/>
        </w:rPr>
        <w:t>Jurnal</w:t>
      </w:r>
      <w:proofErr w:type="spellEnd"/>
      <w:r w:rsidRPr="00A55A08">
        <w:rPr>
          <w:i/>
          <w:iCs/>
        </w:rPr>
        <w:t xml:space="preserve"> </w:t>
      </w:r>
      <w:proofErr w:type="spellStart"/>
      <w:r w:rsidRPr="00A55A08">
        <w:rPr>
          <w:i/>
          <w:iCs/>
        </w:rPr>
        <w:t>Ekonomi</w:t>
      </w:r>
      <w:proofErr w:type="spellEnd"/>
      <w:r w:rsidRPr="00A55A08">
        <w:rPr>
          <w:i/>
          <w:iCs/>
        </w:rPr>
        <w:t xml:space="preserve"> dan </w:t>
      </w:r>
      <w:proofErr w:type="spellStart"/>
      <w:r w:rsidRPr="00A55A08">
        <w:rPr>
          <w:i/>
          <w:iCs/>
        </w:rPr>
        <w:t>Bisnis</w:t>
      </w:r>
      <w:proofErr w:type="spellEnd"/>
      <w:r w:rsidRPr="00A55A08">
        <w:t>, </w:t>
      </w:r>
      <w:r w:rsidRPr="00A55A08">
        <w:rPr>
          <w:i/>
          <w:iCs/>
        </w:rPr>
        <w:t>6</w:t>
      </w:r>
      <w:r w:rsidRPr="00A55A08">
        <w:t>(1), 39-53.</w:t>
      </w:r>
    </w:p>
    <w:sectPr w:rsidR="00A55A08" w:rsidRPr="001201CF"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8AD3" w14:textId="77777777" w:rsidR="009E6851" w:rsidRDefault="009E6851">
      <w:pPr>
        <w:spacing w:after="0"/>
      </w:pPr>
      <w:r>
        <w:separator/>
      </w:r>
    </w:p>
  </w:endnote>
  <w:endnote w:type="continuationSeparator" w:id="0">
    <w:p w14:paraId="1126718C" w14:textId="77777777" w:rsidR="009E6851" w:rsidRDefault="009E6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488BC2AC" w:rsidR="00082DF1" w:rsidRPr="00090C24"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1" w:name="_Hlk70513816"/>
    <w:r w:rsidRPr="00190B77">
      <w:rPr>
        <w:rFonts w:eastAsia="Times New Roman"/>
        <w:color w:val="000000"/>
        <w:lang w:val="id-ID"/>
      </w:rPr>
      <w:t>DOI: https://doi.org/</w:t>
    </w:r>
    <w:r w:rsidR="00090C24" w:rsidRPr="00090C24">
      <w:rPr>
        <w:rFonts w:eastAsia="Times New Roman"/>
        <w:color w:val="000000"/>
        <w:lang w:val="id-ID"/>
      </w:rPr>
      <w:t>10.31004/riggs.v4i4.4</w:t>
    </w:r>
    <w:r w:rsidR="00090C24">
      <w:rPr>
        <w:rFonts w:eastAsia="Times New Roman"/>
        <w:color w:val="000000"/>
        <w:lang w:val="en-GB"/>
      </w:rPr>
      <w:t>299</w:t>
    </w:r>
  </w:p>
  <w:p w14:paraId="43064894" w14:textId="4CA81418"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1"/>
  <w:p w14:paraId="226BDC99" w14:textId="77777777" w:rsidR="00DF0BEE" w:rsidRDefault="00DF0BEE">
    <w:pPr>
      <w:pStyle w:val="Footer"/>
      <w:jc w:val="center"/>
    </w:pPr>
    <w:r>
      <w:fldChar w:fldCharType="begin"/>
    </w:r>
    <w:r>
      <w:instrText xml:space="preserve"> PAGE   \* MERGEFORMAT </w:instrText>
    </w:r>
    <w:r>
      <w:fldChar w:fldCharType="separate"/>
    </w:r>
    <w:r w:rsidR="00A55A08">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1AF55413" w:rsidR="00DF0BEE" w:rsidRPr="00AE62FB" w:rsidRDefault="00705293" w:rsidP="007617F1">
    <w:pPr>
      <w:pStyle w:val="Footer"/>
      <w:pBdr>
        <w:bottom w:val="single" w:sz="6" w:space="1" w:color="auto"/>
      </w:pBdr>
      <w:spacing w:before="120"/>
      <w:jc w:val="center"/>
      <w:rPr>
        <w:lang w:val="id-ID"/>
      </w:rPr>
    </w:pPr>
    <w:r>
      <w:t xml:space="preserve"> </w:t>
    </w:r>
    <w:r w:rsidR="00090C24" w:rsidRPr="00090C24">
      <w:t>Analysis of the Effect of Average Years of Schooling and Provincial Minimum Wages on the Human Development Index Across 38 Provinces in Indonesia (2024)</w:t>
    </w:r>
  </w:p>
  <w:p w14:paraId="161FBB04" w14:textId="77777777" w:rsidR="00DF0BEE" w:rsidRDefault="00DF0BEE">
    <w:pPr>
      <w:pStyle w:val="Footer"/>
      <w:jc w:val="center"/>
    </w:pPr>
    <w:r>
      <w:fldChar w:fldCharType="begin"/>
    </w:r>
    <w:r>
      <w:instrText xml:space="preserve"> PAGE   \* MERGEFORMAT </w:instrText>
    </w:r>
    <w:r>
      <w:fldChar w:fldCharType="separate"/>
    </w:r>
    <w:r w:rsidR="00A55A08">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6394" w14:textId="77777777" w:rsidR="009E6851" w:rsidRDefault="009E6851">
      <w:pPr>
        <w:spacing w:after="0"/>
      </w:pPr>
      <w:r>
        <w:separator/>
      </w:r>
    </w:p>
  </w:footnote>
  <w:footnote w:type="continuationSeparator" w:id="0">
    <w:p w14:paraId="769B5303" w14:textId="77777777" w:rsidR="009E6851" w:rsidRDefault="009E68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40D2" w14:textId="77777777" w:rsidR="00090C24" w:rsidRPr="00CA2057" w:rsidRDefault="00090C24" w:rsidP="00090C24">
    <w:pPr>
      <w:pStyle w:val="Subtitle"/>
      <w:spacing w:after="0"/>
      <w:rPr>
        <w:rStyle w:val="SubtleEmphasis"/>
        <w:b w:val="0"/>
        <w:sz w:val="20"/>
      </w:rPr>
    </w:pPr>
    <w:bookmarkStart w:id="0" w:name="_Hlk70543852"/>
    <w:r w:rsidRPr="00445D2F">
      <w:rPr>
        <w:b w:val="0"/>
        <w:bCs/>
        <w:iCs/>
        <w:color w:val="404040"/>
        <w:sz w:val="20"/>
      </w:rPr>
      <w:t>M. Farid Fadhilah</w:t>
    </w:r>
    <w:r w:rsidRPr="00445D2F">
      <w:rPr>
        <w:b w:val="0"/>
        <w:bCs/>
        <w:iCs/>
        <w:color w:val="404040"/>
        <w:sz w:val="20"/>
        <w:vertAlign w:val="superscript"/>
      </w:rPr>
      <w:t>1</w:t>
    </w:r>
    <w:r w:rsidRPr="00445D2F">
      <w:rPr>
        <w:b w:val="0"/>
        <w:bCs/>
        <w:iCs/>
        <w:color w:val="404040"/>
        <w:sz w:val="20"/>
      </w:rPr>
      <w:t xml:space="preserve">, </w:t>
    </w:r>
    <w:proofErr w:type="spellStart"/>
    <w:r w:rsidRPr="00445D2F">
      <w:rPr>
        <w:b w:val="0"/>
        <w:bCs/>
        <w:iCs/>
        <w:color w:val="404040"/>
        <w:sz w:val="20"/>
      </w:rPr>
      <w:t>Misfah</w:t>
    </w:r>
    <w:proofErr w:type="spellEnd"/>
    <w:r w:rsidRPr="00445D2F">
      <w:rPr>
        <w:b w:val="0"/>
        <w:bCs/>
        <w:iCs/>
        <w:color w:val="404040"/>
        <w:sz w:val="20"/>
      </w:rPr>
      <w:t xml:space="preserve"> Salsabila</w:t>
    </w:r>
    <w:r w:rsidRPr="00445D2F">
      <w:rPr>
        <w:b w:val="0"/>
        <w:bCs/>
        <w:iCs/>
        <w:color w:val="404040"/>
        <w:sz w:val="20"/>
        <w:vertAlign w:val="superscript"/>
      </w:rPr>
      <w:t>2</w:t>
    </w:r>
    <w:r w:rsidRPr="00445D2F">
      <w:rPr>
        <w:b w:val="0"/>
        <w:bCs/>
        <w:iCs/>
        <w:color w:val="404040"/>
        <w:sz w:val="20"/>
      </w:rPr>
      <w:t xml:space="preserve">, </w:t>
    </w:r>
    <w:proofErr w:type="spellStart"/>
    <w:r w:rsidRPr="00445D2F">
      <w:rPr>
        <w:b w:val="0"/>
        <w:bCs/>
        <w:iCs/>
        <w:color w:val="404040"/>
        <w:sz w:val="20"/>
      </w:rPr>
      <w:t>Faisa</w:t>
    </w:r>
    <w:proofErr w:type="spellEnd"/>
    <w:r w:rsidRPr="00445D2F">
      <w:rPr>
        <w:b w:val="0"/>
        <w:bCs/>
        <w:iCs/>
        <w:color w:val="404040"/>
        <w:sz w:val="20"/>
      </w:rPr>
      <w:t xml:space="preserve"> </w:t>
    </w:r>
    <w:proofErr w:type="spellStart"/>
    <w:r w:rsidRPr="00445D2F">
      <w:rPr>
        <w:b w:val="0"/>
        <w:bCs/>
        <w:iCs/>
        <w:color w:val="404040"/>
        <w:sz w:val="20"/>
      </w:rPr>
      <w:t>Syahda</w:t>
    </w:r>
    <w:proofErr w:type="spellEnd"/>
    <w:r w:rsidRPr="00445D2F">
      <w:rPr>
        <w:b w:val="0"/>
        <w:bCs/>
        <w:iCs/>
        <w:color w:val="404040"/>
        <w:sz w:val="20"/>
      </w:rPr>
      <w:t xml:space="preserve"> Aufa</w:t>
    </w:r>
    <w:r w:rsidRPr="00445D2F">
      <w:rPr>
        <w:b w:val="0"/>
        <w:bCs/>
        <w:iCs/>
        <w:color w:val="404040"/>
        <w:sz w:val="20"/>
        <w:vertAlign w:val="superscript"/>
      </w:rPr>
      <w:t>3</w:t>
    </w:r>
    <w:r w:rsidRPr="00445D2F">
      <w:rPr>
        <w:b w:val="0"/>
        <w:bCs/>
        <w:iCs/>
        <w:color w:val="404040"/>
        <w:sz w:val="20"/>
      </w:rPr>
      <w:t xml:space="preserve">, </w:t>
    </w:r>
    <w:proofErr w:type="spellStart"/>
    <w:r w:rsidRPr="00445D2F">
      <w:rPr>
        <w:b w:val="0"/>
        <w:bCs/>
        <w:iCs/>
        <w:color w:val="404040"/>
        <w:sz w:val="20"/>
      </w:rPr>
      <w:t>Oliviani</w:t>
    </w:r>
    <w:proofErr w:type="spellEnd"/>
    <w:r w:rsidRPr="00445D2F">
      <w:rPr>
        <w:b w:val="0"/>
        <w:bCs/>
        <w:iCs/>
        <w:color w:val="404040"/>
        <w:sz w:val="20"/>
      </w:rPr>
      <w:t xml:space="preserve"> Yulianti</w:t>
    </w:r>
    <w:r w:rsidRPr="00445D2F">
      <w:rPr>
        <w:b w:val="0"/>
        <w:bCs/>
        <w:iCs/>
        <w:color w:val="404040"/>
        <w:sz w:val="20"/>
        <w:vertAlign w:val="superscript"/>
      </w:rPr>
      <w:t>4</w:t>
    </w:r>
    <w:r w:rsidRPr="00445D2F">
      <w:rPr>
        <w:b w:val="0"/>
        <w:bCs/>
        <w:iCs/>
        <w:color w:val="404040"/>
        <w:sz w:val="20"/>
      </w:rPr>
      <w:t xml:space="preserve">, Ratu </w:t>
    </w:r>
    <w:proofErr w:type="spellStart"/>
    <w:r w:rsidRPr="00445D2F">
      <w:rPr>
        <w:b w:val="0"/>
        <w:bCs/>
        <w:iCs/>
        <w:color w:val="404040"/>
        <w:sz w:val="20"/>
      </w:rPr>
      <w:t>Salza</w:t>
    </w:r>
    <w:proofErr w:type="spellEnd"/>
    <w:r w:rsidRPr="00445D2F">
      <w:rPr>
        <w:b w:val="0"/>
        <w:bCs/>
        <w:iCs/>
        <w:color w:val="404040"/>
        <w:sz w:val="20"/>
      </w:rPr>
      <w:t xml:space="preserve"> </w:t>
    </w:r>
    <w:proofErr w:type="spellStart"/>
    <w:r w:rsidRPr="00445D2F">
      <w:rPr>
        <w:b w:val="0"/>
        <w:bCs/>
        <w:iCs/>
        <w:color w:val="404040"/>
        <w:sz w:val="20"/>
      </w:rPr>
      <w:t>Alya</w:t>
    </w:r>
    <w:proofErr w:type="spellEnd"/>
    <w:r w:rsidRPr="00445D2F">
      <w:rPr>
        <w:b w:val="0"/>
        <w:bCs/>
        <w:iCs/>
        <w:color w:val="404040"/>
        <w:sz w:val="20"/>
      </w:rPr>
      <w:t xml:space="preserve"> Sabila</w:t>
    </w:r>
    <w:r w:rsidRPr="00445D2F">
      <w:rPr>
        <w:b w:val="0"/>
        <w:bCs/>
        <w:iCs/>
        <w:color w:val="404040"/>
        <w:sz w:val="20"/>
        <w:vertAlign w:val="superscript"/>
      </w:rPr>
      <w:t>5</w:t>
    </w:r>
  </w:p>
  <w:p w14:paraId="501587EF" w14:textId="65E70918" w:rsidR="00DF0BEE" w:rsidRPr="0033260F" w:rsidRDefault="00D031E8"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bookmarkEnd w:id="0"/>
    <w:r w:rsidRPr="00D031E8">
      <w:t xml:space="preserve">Volume </w:t>
    </w:r>
    <w:r w:rsidR="00090C24">
      <w:t>4</w:t>
    </w:r>
    <w:r w:rsidRPr="00D031E8">
      <w:t xml:space="preserve"> </w:t>
    </w:r>
    <w:proofErr w:type="spellStart"/>
    <w:r w:rsidRPr="00D031E8">
      <w:t>Nomor</w:t>
    </w:r>
    <w:proofErr w:type="spellEnd"/>
    <w:r w:rsidRPr="00D031E8">
      <w:t xml:space="preserve"> </w:t>
    </w:r>
    <w:r w:rsidR="00090C24">
      <w:t>4</w:t>
    </w:r>
    <w:r w:rsidRPr="00D031E8">
      <w:t>, 202</w:t>
    </w:r>
    <w:r w:rsidR="00090C24">
      <w:t>5</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01B87"/>
    <w:multiLevelType w:val="hybridMultilevel"/>
    <w:tmpl w:val="5C8AA790"/>
    <w:lvl w:ilvl="0" w:tplc="BF14F152">
      <w:start w:val="1"/>
      <w:numFmt w:val="decimal"/>
      <w:lvlText w:val="%1."/>
      <w:lvlJc w:val="left"/>
      <w:pPr>
        <w:ind w:left="36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30DFB"/>
    <w:multiLevelType w:val="hybridMultilevel"/>
    <w:tmpl w:val="BB22BA88"/>
    <w:lvl w:ilvl="0" w:tplc="92FC4168">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BE4BF6"/>
    <w:multiLevelType w:val="hybridMultilevel"/>
    <w:tmpl w:val="87F687A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DB7A59"/>
    <w:multiLevelType w:val="hybridMultilevel"/>
    <w:tmpl w:val="BA946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F44B87"/>
    <w:multiLevelType w:val="hybridMultilevel"/>
    <w:tmpl w:val="A38477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6"/>
  </w:num>
  <w:num w:numId="5">
    <w:abstractNumId w:val="1"/>
  </w:num>
  <w:num w:numId="6">
    <w:abstractNumId w:val="2"/>
  </w:num>
  <w:num w:numId="7">
    <w:abstractNumId w:val="3"/>
  </w:num>
  <w:num w:numId="8">
    <w:abstractNumId w:val="8"/>
  </w:num>
  <w:num w:numId="9">
    <w:abstractNumId w:val="12"/>
  </w:num>
  <w:num w:numId="10">
    <w:abstractNumId w:val="5"/>
  </w:num>
  <w:num w:numId="11">
    <w:abstractNumId w:val="10"/>
  </w:num>
  <w:num w:numId="12">
    <w:abstractNumId w:val="4"/>
  </w:num>
  <w:num w:numId="13">
    <w:abstractNumId w:val="7"/>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0C24"/>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1CF"/>
    <w:rsid w:val="00120A52"/>
    <w:rsid w:val="00123E24"/>
    <w:rsid w:val="00132325"/>
    <w:rsid w:val="00133441"/>
    <w:rsid w:val="0017382D"/>
    <w:rsid w:val="00190B77"/>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C1AA0"/>
    <w:rsid w:val="002D338D"/>
    <w:rsid w:val="002D57C4"/>
    <w:rsid w:val="002D60B6"/>
    <w:rsid w:val="002E5364"/>
    <w:rsid w:val="002F2A68"/>
    <w:rsid w:val="002F5468"/>
    <w:rsid w:val="002F6CF0"/>
    <w:rsid w:val="003068A7"/>
    <w:rsid w:val="0033205A"/>
    <w:rsid w:val="0033260F"/>
    <w:rsid w:val="003468AB"/>
    <w:rsid w:val="00355D7E"/>
    <w:rsid w:val="003577F2"/>
    <w:rsid w:val="00361AC6"/>
    <w:rsid w:val="00397ABF"/>
    <w:rsid w:val="003B17BE"/>
    <w:rsid w:val="003B496A"/>
    <w:rsid w:val="003B5E83"/>
    <w:rsid w:val="003C0EE1"/>
    <w:rsid w:val="003E55A5"/>
    <w:rsid w:val="003E6BC9"/>
    <w:rsid w:val="003F4478"/>
    <w:rsid w:val="003F51D8"/>
    <w:rsid w:val="004055A4"/>
    <w:rsid w:val="00413896"/>
    <w:rsid w:val="00433408"/>
    <w:rsid w:val="0043444F"/>
    <w:rsid w:val="00434A3A"/>
    <w:rsid w:val="00437181"/>
    <w:rsid w:val="00445D2F"/>
    <w:rsid w:val="004936A3"/>
    <w:rsid w:val="004A0DDF"/>
    <w:rsid w:val="004A6011"/>
    <w:rsid w:val="004A7B94"/>
    <w:rsid w:val="004B4C23"/>
    <w:rsid w:val="004B505B"/>
    <w:rsid w:val="004D1DA5"/>
    <w:rsid w:val="004E0DC5"/>
    <w:rsid w:val="004E6245"/>
    <w:rsid w:val="004E6D8F"/>
    <w:rsid w:val="004F372D"/>
    <w:rsid w:val="004F6849"/>
    <w:rsid w:val="004F7CFF"/>
    <w:rsid w:val="0052576B"/>
    <w:rsid w:val="0054643A"/>
    <w:rsid w:val="005563B3"/>
    <w:rsid w:val="0057105F"/>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5051F"/>
    <w:rsid w:val="006518BB"/>
    <w:rsid w:val="006520F2"/>
    <w:rsid w:val="00665ED4"/>
    <w:rsid w:val="00670B39"/>
    <w:rsid w:val="00671B10"/>
    <w:rsid w:val="00671DC2"/>
    <w:rsid w:val="00673739"/>
    <w:rsid w:val="00675479"/>
    <w:rsid w:val="00675D76"/>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7A4A"/>
    <w:rsid w:val="00805BE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342A"/>
    <w:rsid w:val="008D6BCE"/>
    <w:rsid w:val="008F6707"/>
    <w:rsid w:val="009045CB"/>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C555A"/>
    <w:rsid w:val="009D2EBE"/>
    <w:rsid w:val="009D53A9"/>
    <w:rsid w:val="009E0DE1"/>
    <w:rsid w:val="009E37F2"/>
    <w:rsid w:val="009E6851"/>
    <w:rsid w:val="00A10EFB"/>
    <w:rsid w:val="00A11036"/>
    <w:rsid w:val="00A416FA"/>
    <w:rsid w:val="00A478DE"/>
    <w:rsid w:val="00A55A08"/>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33B25"/>
    <w:rsid w:val="00B33E95"/>
    <w:rsid w:val="00B428C4"/>
    <w:rsid w:val="00B43AFF"/>
    <w:rsid w:val="00B82A0F"/>
    <w:rsid w:val="00B83D7B"/>
    <w:rsid w:val="00B84C63"/>
    <w:rsid w:val="00B8786D"/>
    <w:rsid w:val="00B95B45"/>
    <w:rsid w:val="00BC70A9"/>
    <w:rsid w:val="00BD5748"/>
    <w:rsid w:val="00BD6072"/>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44DF6"/>
    <w:rsid w:val="00F45D3A"/>
    <w:rsid w:val="00F53574"/>
    <w:rsid w:val="00F56B22"/>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016D78AA-2848-4B57-80F9-13717F8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1">
    <w:name w:val="Unresolved Mention1"/>
    <w:basedOn w:val="DefaultParagraphFont"/>
    <w:uiPriority w:val="99"/>
    <w:semiHidden/>
    <w:unhideWhenUsed/>
    <w:rsid w:val="006126CE"/>
    <w:rPr>
      <w:color w:val="605E5C"/>
      <w:shd w:val="clear" w:color="auto" w:fill="E1DFDD"/>
    </w:rPr>
  </w:style>
  <w:style w:type="table" w:customStyle="1" w:styleId="PlainTable21">
    <w:name w:val="Plain Table 21"/>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msfhsblaa.09@gmail.com" TargetMode="External"/><Relationship Id="rId4" Type="http://schemas.openxmlformats.org/officeDocument/2006/relationships/webSettings" Target="webSettings.xml"/><Relationship Id="rId9" Type="http://schemas.openxmlformats.org/officeDocument/2006/relationships/hyperlink" Target="mailto:faridfadhilah163@gmail.com1,"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8388</Words>
  <Characters>47812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56088</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creator>Editor_RESTI</dc:creator>
  <cp:keywords>Jurnal;Prosiding;IAII</cp:keywords>
  <cp:lastModifiedBy>LAPTOPSEKEN.COM</cp:lastModifiedBy>
  <cp:revision>5</cp:revision>
  <cp:lastPrinted>2018-06-26T09:35:00Z</cp:lastPrinted>
  <dcterms:created xsi:type="dcterms:W3CDTF">2025-12-07T20:24:00Z</dcterms:created>
  <dcterms:modified xsi:type="dcterms:W3CDTF">2025-12-20T07:36:00Z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