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2E7E91F1"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D56597" w:rsidRPr="00D56597">
              <w:rPr>
                <w:spacing w:val="20"/>
                <w:position w:val="6"/>
                <w:sz w:val="24"/>
                <w:szCs w:val="24"/>
              </w:rPr>
              <w:t>4 No. 4 (2025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D56597">
              <w:rPr>
                <w:spacing w:val="20"/>
                <w:position w:val="6"/>
                <w:sz w:val="24"/>
                <w:szCs w:val="24"/>
              </w:rPr>
              <w:t>5711-5720</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53623A86" w14:textId="14E0124C" w:rsidR="006D1672" w:rsidRPr="006D1672" w:rsidRDefault="009A32FC" w:rsidP="008310AB">
      <w:pPr>
        <w:spacing w:before="240"/>
        <w:jc w:val="center"/>
      </w:pPr>
      <w:r w:rsidRPr="009A32FC">
        <w:rPr>
          <w:rFonts w:eastAsia="Times New Roman"/>
          <w:bCs/>
          <w:sz w:val="30"/>
          <w:szCs w:val="24"/>
        </w:rPr>
        <w:t>Loyalty Programs and Customer Retention in the Hospitality Sector: A Study at Rumah Jawa Syariah Guest House</w:t>
      </w:r>
    </w:p>
    <w:p w14:paraId="2EC5C312" w14:textId="0D62D667" w:rsidR="00693C5F" w:rsidRPr="008310AB" w:rsidRDefault="009A32FC" w:rsidP="00693C5F">
      <w:pPr>
        <w:pStyle w:val="Subtitle"/>
        <w:spacing w:after="0"/>
        <w:rPr>
          <w:rStyle w:val="SubtleEmphasis"/>
          <w:b w:val="0"/>
          <w:sz w:val="20"/>
          <w:szCs w:val="20"/>
        </w:rPr>
      </w:pPr>
      <w:r w:rsidRPr="008310AB">
        <w:rPr>
          <w:rStyle w:val="SubtleEmphasis"/>
          <w:b w:val="0"/>
          <w:sz w:val="20"/>
          <w:szCs w:val="20"/>
        </w:rPr>
        <w:t xml:space="preserve">Ramadhan </w:t>
      </w:r>
      <w:proofErr w:type="spellStart"/>
      <w:r w:rsidRPr="008310AB">
        <w:rPr>
          <w:rStyle w:val="SubtleEmphasis"/>
          <w:b w:val="0"/>
          <w:sz w:val="20"/>
          <w:szCs w:val="20"/>
        </w:rPr>
        <w:t>Bagus</w:t>
      </w:r>
      <w:proofErr w:type="spellEnd"/>
      <w:r w:rsidRPr="008310AB">
        <w:rPr>
          <w:rStyle w:val="SubtleEmphasis"/>
          <w:b w:val="0"/>
          <w:sz w:val="20"/>
          <w:szCs w:val="20"/>
        </w:rPr>
        <w:t xml:space="preserve"> Hartanto</w:t>
      </w:r>
      <w:r w:rsidR="00693C5F" w:rsidRPr="008310AB">
        <w:rPr>
          <w:rStyle w:val="SubtleEmphasis"/>
          <w:b w:val="0"/>
          <w:sz w:val="20"/>
          <w:szCs w:val="20"/>
        </w:rPr>
        <w:t xml:space="preserve">, </w:t>
      </w:r>
      <w:proofErr w:type="spellStart"/>
      <w:r w:rsidRPr="008310AB">
        <w:rPr>
          <w:rStyle w:val="SubtleEmphasis"/>
          <w:b w:val="0"/>
          <w:sz w:val="20"/>
          <w:szCs w:val="20"/>
        </w:rPr>
        <w:t>Fitroh</w:t>
      </w:r>
      <w:proofErr w:type="spellEnd"/>
      <w:r w:rsidRPr="008310AB">
        <w:rPr>
          <w:rStyle w:val="SubtleEmphasis"/>
          <w:b w:val="0"/>
          <w:sz w:val="20"/>
          <w:szCs w:val="20"/>
        </w:rPr>
        <w:t xml:space="preserve"> </w:t>
      </w:r>
      <w:proofErr w:type="spellStart"/>
      <w:r w:rsidRPr="008310AB">
        <w:rPr>
          <w:rStyle w:val="SubtleEmphasis"/>
          <w:b w:val="0"/>
          <w:sz w:val="20"/>
          <w:szCs w:val="20"/>
        </w:rPr>
        <w:t>Adilla</w:t>
      </w:r>
      <w:proofErr w:type="spellEnd"/>
      <w:r w:rsidRPr="008310AB">
        <w:rPr>
          <w:rStyle w:val="SubtleEmphasis"/>
          <w:b w:val="0"/>
          <w:sz w:val="20"/>
          <w:szCs w:val="20"/>
        </w:rPr>
        <w:t xml:space="preserve">, </w:t>
      </w:r>
      <w:proofErr w:type="spellStart"/>
      <w:r w:rsidRPr="008310AB">
        <w:rPr>
          <w:rStyle w:val="SubtleEmphasis"/>
          <w:b w:val="0"/>
          <w:sz w:val="20"/>
          <w:szCs w:val="20"/>
        </w:rPr>
        <w:t>Zunan</w:t>
      </w:r>
      <w:proofErr w:type="spellEnd"/>
      <w:r w:rsidRPr="008310AB">
        <w:rPr>
          <w:rStyle w:val="SubtleEmphasis"/>
          <w:b w:val="0"/>
          <w:sz w:val="20"/>
          <w:szCs w:val="20"/>
        </w:rPr>
        <w:t xml:space="preserve"> Setiawan</w:t>
      </w:r>
      <w:r w:rsidR="00693C5F" w:rsidRPr="008310AB">
        <w:rPr>
          <w:rStyle w:val="SubtleEmphasis"/>
          <w:b w:val="0"/>
          <w:sz w:val="20"/>
          <w:szCs w:val="20"/>
          <w:vertAlign w:val="superscript"/>
        </w:rPr>
        <w:t xml:space="preserve"> </w:t>
      </w:r>
    </w:p>
    <w:p w14:paraId="73D94B40" w14:textId="1968D8F3" w:rsidR="00693C5F" w:rsidRPr="008310AB" w:rsidRDefault="009A32FC" w:rsidP="00693C5F">
      <w:pPr>
        <w:pStyle w:val="Subtitle"/>
        <w:spacing w:after="0"/>
        <w:rPr>
          <w:rStyle w:val="SubtleEmphasis"/>
          <w:b w:val="0"/>
          <w:szCs w:val="18"/>
        </w:rPr>
      </w:pPr>
      <w:r w:rsidRPr="008310AB">
        <w:rPr>
          <w:rStyle w:val="SubtleEmphasis"/>
          <w:b w:val="0"/>
          <w:szCs w:val="18"/>
        </w:rPr>
        <w:t>Magister Management</w:t>
      </w:r>
      <w:r w:rsidR="00693C5F" w:rsidRPr="008310AB">
        <w:rPr>
          <w:rStyle w:val="SubtleEmphasis"/>
          <w:b w:val="0"/>
          <w:szCs w:val="18"/>
        </w:rPr>
        <w:t>, Faculty</w:t>
      </w:r>
      <w:r w:rsidRPr="008310AB">
        <w:rPr>
          <w:rStyle w:val="SubtleEmphasis"/>
          <w:b w:val="0"/>
          <w:szCs w:val="18"/>
        </w:rPr>
        <w:t xml:space="preserve"> Economic and Business</w:t>
      </w:r>
      <w:r w:rsidR="00693C5F" w:rsidRPr="008310AB">
        <w:rPr>
          <w:rStyle w:val="SubtleEmphasis"/>
          <w:b w:val="0"/>
          <w:szCs w:val="18"/>
        </w:rPr>
        <w:t xml:space="preserve">, </w:t>
      </w:r>
      <w:r w:rsidRPr="008310AB">
        <w:rPr>
          <w:rStyle w:val="SubtleEmphasis"/>
          <w:b w:val="0"/>
          <w:szCs w:val="18"/>
        </w:rPr>
        <w:t>Universitas Ahmad Dahlan</w:t>
      </w:r>
      <w:r w:rsidR="00693C5F" w:rsidRPr="008310AB">
        <w:rPr>
          <w:rStyle w:val="SubtleEmphasis"/>
          <w:b w:val="0"/>
          <w:szCs w:val="18"/>
        </w:rPr>
        <w:t xml:space="preserve"> </w:t>
      </w:r>
    </w:p>
    <w:p w14:paraId="5F25B916" w14:textId="03AAEDCC" w:rsidR="00DF0BEE" w:rsidRPr="008310AB" w:rsidRDefault="008310AB" w:rsidP="009A32FC">
      <w:pPr>
        <w:pStyle w:val="Subtitle"/>
        <w:spacing w:after="240"/>
        <w:rPr>
          <w:rStyle w:val="SubtleEmphasis"/>
          <w:b w:val="0"/>
          <w:color w:val="auto"/>
          <w:szCs w:val="18"/>
          <w:vertAlign w:val="superscript"/>
        </w:rPr>
      </w:pPr>
      <w:hyperlink r:id="rId9" w:history="1">
        <w:r w:rsidRPr="008310AB">
          <w:rPr>
            <w:rStyle w:val="Hyperlink"/>
            <w:b w:val="0"/>
            <w:sz w:val="18"/>
            <w:szCs w:val="18"/>
          </w:rPr>
          <w:t>2407051024@webmail.uad.ac.id</w:t>
        </w:r>
      </w:hyperlink>
      <w:r w:rsidR="00693C5F" w:rsidRPr="008310AB">
        <w:rPr>
          <w:rStyle w:val="SubtleEmphasis"/>
          <w:b w:val="0"/>
          <w:color w:val="auto"/>
          <w:szCs w:val="18"/>
        </w:rPr>
        <w:t>,</w:t>
      </w:r>
      <w:hyperlink r:id="rId10" w:history="1">
        <w:r w:rsidRPr="008310AB">
          <w:rPr>
            <w:rStyle w:val="Hyperlink"/>
            <w:b w:val="0"/>
            <w:sz w:val="18"/>
            <w:szCs w:val="18"/>
            <w:vertAlign w:val="superscript"/>
          </w:rPr>
          <w:t xml:space="preserve"> </w:t>
        </w:r>
        <w:r w:rsidRPr="008310AB">
          <w:rPr>
            <w:rStyle w:val="Hyperlink"/>
            <w:b w:val="0"/>
            <w:sz w:val="18"/>
            <w:szCs w:val="18"/>
          </w:rPr>
          <w:t>fitroh.adilla@mm.uad.ac.id</w:t>
        </w:r>
      </w:hyperlink>
      <w:r w:rsidR="00693C5F" w:rsidRPr="008310AB">
        <w:rPr>
          <w:rStyle w:val="SubtleEmphasis"/>
          <w:b w:val="0"/>
          <w:color w:val="auto"/>
          <w:szCs w:val="18"/>
        </w:rPr>
        <w:t>,</w:t>
      </w:r>
      <w:r w:rsidRPr="008310AB">
        <w:rPr>
          <w:rStyle w:val="SubtleEmphasis"/>
          <w:b w:val="0"/>
          <w:color w:val="auto"/>
          <w:szCs w:val="18"/>
          <w:vertAlign w:val="superscript"/>
        </w:rPr>
        <w:t xml:space="preserve"> </w:t>
      </w:r>
      <w:hyperlink r:id="rId11" w:history="1">
        <w:r w:rsidRPr="008310AB">
          <w:rPr>
            <w:rStyle w:val="Hyperlink"/>
            <w:b w:val="0"/>
            <w:sz w:val="18"/>
            <w:szCs w:val="18"/>
          </w:rPr>
          <w:t>zunan.setiawan@mm.uad.ac.id</w:t>
        </w:r>
      </w:hyperlink>
      <w:r w:rsidRPr="008310AB">
        <w:rPr>
          <w:rStyle w:val="SubtleEmphasis"/>
          <w:b w:val="0"/>
          <w:color w:val="auto"/>
          <w:szCs w:val="18"/>
        </w:rPr>
        <w:t xml:space="preserve">  </w:t>
      </w:r>
    </w:p>
    <w:p w14:paraId="453A708F" w14:textId="77777777" w:rsidR="00DF0BEE" w:rsidRPr="006126CE" w:rsidRDefault="00DF0BEE" w:rsidP="008310AB">
      <w:pPr>
        <w:pStyle w:val="Heading1"/>
        <w:spacing w:after="0"/>
        <w:rPr>
          <w:i/>
          <w:iCs/>
        </w:rPr>
      </w:pPr>
      <w:r w:rsidRPr="006126CE">
        <w:rPr>
          <w:i/>
          <w:iCs/>
        </w:rPr>
        <w:t xml:space="preserve">Abstract </w:t>
      </w:r>
    </w:p>
    <w:p w14:paraId="3313929D" w14:textId="77777777" w:rsidR="007006ED" w:rsidRPr="008310AB" w:rsidRDefault="007006ED" w:rsidP="008310AB">
      <w:pPr>
        <w:spacing w:before="240" w:after="0"/>
        <w:rPr>
          <w:i/>
          <w:iCs/>
          <w:sz w:val="18"/>
          <w:szCs w:val="18"/>
        </w:rPr>
      </w:pPr>
      <w:r w:rsidRPr="008310AB">
        <w:rPr>
          <w:i/>
          <w:iCs/>
          <w:sz w:val="18"/>
          <w:szCs w:val="18"/>
        </w:rPr>
        <w:t>This qualitative study investigates the role of loyalty programs in enhancing customer retention within the hospitality sector, focusing on Rumah Jawa Syariah Guest House as a case study. The research aims to uncover how loyalty initiatives influence guests’ decisions to return and maintain long-term engagement. Using in-depth interviews with guests and management, complemented by direct observations and document analysis, the study explores the experiences, perceptions, and motivations that shape customer loyalty. Findings indicate that loyalty programs significantly contribute to emotional attachment and overall satisfaction, which in turn foster higher retention rates. Key elements that enhance program effectiveness include personalized rewards, clear and consistent communication, attentive service quality, and the sense of being valued by the guest house. The study also reveals that guests respond positively when loyalty programs emphasize meaningful engagement rather than solely material incentives, highlighting the importance of relationship-centered strategies. These insights provide practical guidance for hospitality managers seeking to design loyalty initiatives that cultivate authentic connections with customers while sustaining competitive advantage. On a theoretical level, the research emphasizes the relevance of a human-centered approach to loyalty management, demonstrating that qualitative methods are essential for capturing the nuanced dynamics of consumer behavior in the context of Sharia-compliant hospitality. The study contributes to both academic understanding and managerial practice by bridging customer experience, loyalty program design, and retention strategies in small-scale hospitality settings.</w:t>
      </w:r>
    </w:p>
    <w:p w14:paraId="0B8BD45B" w14:textId="2E7A7A37" w:rsidR="007006ED" w:rsidRPr="008310AB" w:rsidRDefault="007006ED" w:rsidP="008310AB">
      <w:pPr>
        <w:spacing w:before="240"/>
        <w:rPr>
          <w:i/>
          <w:iCs/>
          <w:sz w:val="18"/>
          <w:szCs w:val="18"/>
        </w:rPr>
      </w:pPr>
      <w:r w:rsidRPr="008310AB">
        <w:rPr>
          <w:i/>
          <w:iCs/>
          <w:sz w:val="18"/>
          <w:szCs w:val="18"/>
        </w:rPr>
        <w:t xml:space="preserve">Keywords: </w:t>
      </w:r>
      <w:r w:rsidR="008310AB" w:rsidRPr="008310AB">
        <w:rPr>
          <w:i/>
          <w:iCs/>
          <w:sz w:val="18"/>
          <w:szCs w:val="18"/>
        </w:rPr>
        <w:t xml:space="preserve">Loyalty Programs, Customer Retention, Hospitality, </w:t>
      </w:r>
      <w:proofErr w:type="spellStart"/>
      <w:r w:rsidRPr="008310AB">
        <w:rPr>
          <w:i/>
          <w:iCs/>
          <w:sz w:val="18"/>
          <w:szCs w:val="18"/>
        </w:rPr>
        <w:t>Rumah</w:t>
      </w:r>
      <w:proofErr w:type="spellEnd"/>
      <w:r w:rsidRPr="008310AB">
        <w:rPr>
          <w:i/>
          <w:iCs/>
          <w:sz w:val="18"/>
          <w:szCs w:val="18"/>
        </w:rPr>
        <w:t xml:space="preserve"> </w:t>
      </w:r>
      <w:proofErr w:type="spellStart"/>
      <w:r w:rsidRPr="008310AB">
        <w:rPr>
          <w:i/>
          <w:iCs/>
          <w:sz w:val="18"/>
          <w:szCs w:val="18"/>
        </w:rPr>
        <w:t>Jawa</w:t>
      </w:r>
      <w:proofErr w:type="spellEnd"/>
      <w:r w:rsidRPr="008310AB">
        <w:rPr>
          <w:i/>
          <w:iCs/>
          <w:sz w:val="18"/>
          <w:szCs w:val="18"/>
        </w:rPr>
        <w:t xml:space="preserve"> Syariah</w:t>
      </w:r>
      <w:r w:rsidR="008310AB" w:rsidRPr="008310AB">
        <w:rPr>
          <w:i/>
          <w:iCs/>
          <w:sz w:val="18"/>
          <w:szCs w:val="18"/>
        </w:rPr>
        <w:t>, Qualitative Research</w:t>
      </w:r>
    </w:p>
    <w:p w14:paraId="1FA416F3" w14:textId="183A5D12" w:rsidR="00DF0BEE" w:rsidRPr="008310AB" w:rsidRDefault="0065051F" w:rsidP="008310AB">
      <w:pPr>
        <w:pStyle w:val="ListParagraph"/>
        <w:numPr>
          <w:ilvl w:val="0"/>
          <w:numId w:val="10"/>
        </w:numPr>
        <w:spacing w:before="240"/>
        <w:ind w:left="284" w:hanging="284"/>
        <w:rPr>
          <w:i/>
          <w:iCs/>
          <w:sz w:val="18"/>
          <w:szCs w:val="18"/>
        </w:rPr>
      </w:pPr>
      <w:r w:rsidRPr="008310AB">
        <w:rPr>
          <w:b/>
          <w:bCs/>
          <w:lang w:val="en"/>
        </w:rPr>
        <w:t>Introduction</w:t>
      </w:r>
      <w:r w:rsidR="00DF0BEE" w:rsidRPr="008310AB">
        <w:rPr>
          <w:b/>
          <w:bCs/>
        </w:rPr>
        <w:t xml:space="preserve"> </w:t>
      </w:r>
    </w:p>
    <w:p w14:paraId="154EB327" w14:textId="77777777" w:rsidR="00D56597" w:rsidRDefault="007006ED" w:rsidP="008310AB">
      <w:pPr>
        <w:rPr>
          <w:bCs/>
          <w:color w:val="000000"/>
          <w:szCs w:val="20"/>
          <w:lang w:val="id-ID"/>
        </w:rPr>
        <w:sectPr w:rsidR="00D56597" w:rsidSect="00D56597">
          <w:headerReference w:type="default" r:id="rId12"/>
          <w:footerReference w:type="default" r:id="rId13"/>
          <w:footerReference w:type="first" r:id="rId14"/>
          <w:type w:val="continuous"/>
          <w:pgSz w:w="11906" w:h="16838"/>
          <w:pgMar w:top="1418" w:right="1418" w:bottom="1418" w:left="1418" w:header="709" w:footer="709" w:gutter="0"/>
          <w:pgNumType w:start="5711"/>
          <w:cols w:space="720"/>
          <w:docGrid w:linePitch="360"/>
        </w:sectPr>
      </w:pPr>
      <w:bookmarkStart w:id="1" w:name="_Hlk67818193"/>
      <w:r w:rsidRPr="007006ED">
        <w:rPr>
          <w:bCs/>
          <w:color w:val="000000"/>
          <w:szCs w:val="20"/>
          <w:lang w:val="id-ID"/>
        </w:rPr>
        <w:t>In recent years, the hospitality sector has witnessed substantial growth and diversification, driven by increasing global travel, digitalization, and evolving customer expectations (Kotler &amp; Keller, 2016; Lovelock &amp; Wirtz, 2017). Within this competitive environment, small-scale accommodations, such as guest houses, face unique challenges in maintaining customer loyalty and ensuring sustainable revenue streams. While attracting new customers remains an essential aspect of business growth, the cost-effectiveness and long-term benefits of customer retention have been widely acknowledged (Griffin, 2005; Suhartanto, 2016). Retained customers not only contribute to repeat revenue but also become advocates for the brand through positive word-of-mouth, which is particularly influential in culturally or ethically oriented hospitality contexts.</w:t>
      </w:r>
      <w:r>
        <w:rPr>
          <w:bCs/>
          <w:color w:val="000000"/>
          <w:szCs w:val="20"/>
          <w:lang w:val="id-ID"/>
        </w:rPr>
        <w:t xml:space="preserve"> </w:t>
      </w:r>
      <w:r w:rsidRPr="007006ED">
        <w:rPr>
          <w:bCs/>
          <w:color w:val="000000"/>
          <w:szCs w:val="20"/>
          <w:lang w:val="id-ID"/>
        </w:rPr>
        <w:t>Loyalty programs have emerged as a prominent strategy to enhance retention. These programs encompass a range of incentives, from point-based systems, discounts, and exclusive privileges to personalized experiences tailored to individual customer preferences (Wijaya, 2005; Raman et al., 2022). Beyond transactional benefits, loyalty programs aim to cultivate emotional attachment and trust, fostering long-term relationships between customers and service providers (Hennig-Thurau et al., 2001; Berry, Zeithaml, &amp; Parasuraman, 2002). In the context of Sharia-compliant accommodations, such as Rumah Jawa Syariah Guest House, loyalty programs are not merely a marketing tool but also reflect ethical and cultural values, emphasizing fairness, transparency, and customer-centered service. Integrating such values can enhance customer satisfaction while aligning with the principles of Islamic hospitality (Abdullah &amp; Toyib, 2018; Febrianto &amp; Damayanti, 2021).</w:t>
      </w:r>
      <w:r>
        <w:rPr>
          <w:bCs/>
          <w:color w:val="000000"/>
          <w:szCs w:val="20"/>
          <w:lang w:val="id-ID"/>
        </w:rPr>
        <w:t xml:space="preserve"> </w:t>
      </w:r>
      <w:r w:rsidRPr="007006ED">
        <w:rPr>
          <w:bCs/>
          <w:color w:val="000000"/>
          <w:szCs w:val="20"/>
          <w:lang w:val="id-ID"/>
        </w:rPr>
        <w:t xml:space="preserve">Despite their widespread adoption, there remains limited understanding of how loyalty programs operate in small, culturally specific hospitality contexts. Most existing research has been conducted in large hotel chains or global resorts, often relying on quantitative approaches that prioritize behavioral metrics over nuanced customer experiences (Tsai &amp; Wang, 2016; Wijaya, 2005). Qualitative insights are essential to capture </w:t>
      </w:r>
    </w:p>
    <w:p w14:paraId="5409933F" w14:textId="7058AF6C" w:rsidR="007006ED" w:rsidRPr="007006ED" w:rsidRDefault="007006ED" w:rsidP="008310AB">
      <w:pPr>
        <w:rPr>
          <w:bCs/>
          <w:color w:val="000000"/>
          <w:szCs w:val="20"/>
          <w:lang w:val="id-ID"/>
        </w:rPr>
      </w:pPr>
      <w:r w:rsidRPr="007006ED">
        <w:rPr>
          <w:bCs/>
          <w:color w:val="000000"/>
          <w:szCs w:val="20"/>
          <w:lang w:val="id-ID"/>
        </w:rPr>
        <w:lastRenderedPageBreak/>
        <w:t>the subjective perceptions, emotions, and motivations of guests, particularly when service delivery is intertwined with ethical and cultural considerations (Creswell, 2018; Denzin &amp; Lincoln, 2011).</w:t>
      </w:r>
    </w:p>
    <w:p w14:paraId="0E62AB5C" w14:textId="77E2DC55" w:rsidR="007006ED" w:rsidRPr="008310AB" w:rsidRDefault="00E4452F" w:rsidP="008310AB">
      <w:pPr>
        <w:rPr>
          <w:b/>
          <w:color w:val="000000"/>
          <w:szCs w:val="20"/>
          <w:lang w:val="id-ID"/>
        </w:rPr>
      </w:pPr>
      <w:r w:rsidRPr="008310AB">
        <w:rPr>
          <w:b/>
          <w:color w:val="000000"/>
          <w:szCs w:val="20"/>
          <w:lang w:val="id-ID"/>
        </w:rPr>
        <w:t>1.1.</w:t>
      </w:r>
      <w:r w:rsidR="008310AB">
        <w:rPr>
          <w:b/>
          <w:color w:val="000000"/>
          <w:szCs w:val="20"/>
          <w:lang w:val="en-GB"/>
        </w:rPr>
        <w:t xml:space="preserve"> </w:t>
      </w:r>
      <w:r w:rsidR="007006ED" w:rsidRPr="008310AB">
        <w:rPr>
          <w:b/>
          <w:color w:val="000000"/>
          <w:szCs w:val="20"/>
          <w:lang w:val="id-ID"/>
        </w:rPr>
        <w:t>Brief Literature Review of Related Research</w:t>
      </w:r>
    </w:p>
    <w:p w14:paraId="1CED4136" w14:textId="14C963A5" w:rsidR="007006ED" w:rsidRPr="008310AB" w:rsidRDefault="007006ED" w:rsidP="008310AB">
      <w:pPr>
        <w:rPr>
          <w:b/>
          <w:color w:val="000000"/>
          <w:szCs w:val="20"/>
          <w:lang w:val="id-ID"/>
        </w:rPr>
      </w:pPr>
      <w:r w:rsidRPr="008310AB">
        <w:rPr>
          <w:b/>
          <w:color w:val="000000"/>
          <w:szCs w:val="20"/>
          <w:lang w:val="id-ID"/>
        </w:rPr>
        <w:t>Loyalty Programs and Customer Retention</w:t>
      </w:r>
    </w:p>
    <w:p w14:paraId="739BB647" w14:textId="155F4E37" w:rsidR="007006ED" w:rsidRPr="007006ED" w:rsidRDefault="007006ED" w:rsidP="008310AB">
      <w:pPr>
        <w:rPr>
          <w:bCs/>
          <w:color w:val="000000"/>
          <w:szCs w:val="20"/>
          <w:lang w:val="id-ID"/>
        </w:rPr>
      </w:pPr>
      <w:r w:rsidRPr="007006ED">
        <w:rPr>
          <w:bCs/>
          <w:color w:val="000000"/>
          <w:szCs w:val="20"/>
          <w:lang w:val="id-ID"/>
        </w:rPr>
        <w:t>The link between loyalty programs and customer retention has been extensively explored across industries. Griffin (2005) emphasized that well-designed loyalty programs encourage repeat purchases and enhance long-term engagement by rewarding consistent patronage. Similarly, Hennig-Thurau et al. (2001) argued that emotional engagement mediated through loyalty initiatives often leads to stronger brand attachment, advocacy, and repeat visits. In hospitality, loyalty programs influence not only repurchase intentions but also perceived service quality and overall satisfaction, which serve as mediators for customer retention (Suhartanto, 2016; Joviando &amp; Kurniawati, 2022).</w:t>
      </w:r>
      <w:r>
        <w:rPr>
          <w:bCs/>
          <w:color w:val="000000"/>
          <w:szCs w:val="20"/>
          <w:lang w:val="id-ID"/>
        </w:rPr>
        <w:t xml:space="preserve"> </w:t>
      </w:r>
      <w:r w:rsidRPr="007006ED">
        <w:rPr>
          <w:bCs/>
          <w:color w:val="000000"/>
          <w:szCs w:val="20"/>
          <w:lang w:val="id-ID"/>
        </w:rPr>
        <w:t>Several scholars have highlighted the importance of personalization and customer-centered approaches in loyalty programs. Tailored incentives, recognition of individual preferences, and meaningful engagement foster trust and emotional bonds between customers and service providers (Kim &amp; Kim, 2009; Buttle &amp; Maklan, 2021). Berry, Zeithaml, and Parasuraman (2002) further emphasized that service quality and relational interactions are critical for sustaining loyalty, suggesting that loyalty programs must integrate both tangible and intangible benefits.</w:t>
      </w:r>
    </w:p>
    <w:p w14:paraId="78E32DA8" w14:textId="7D56570F" w:rsidR="007006ED" w:rsidRPr="008310AB" w:rsidRDefault="007006ED" w:rsidP="008310AB">
      <w:pPr>
        <w:rPr>
          <w:b/>
          <w:color w:val="000000"/>
          <w:szCs w:val="20"/>
          <w:lang w:val="id-ID"/>
        </w:rPr>
      </w:pPr>
      <w:r w:rsidRPr="008310AB">
        <w:rPr>
          <w:b/>
          <w:color w:val="000000"/>
          <w:szCs w:val="20"/>
          <w:lang w:val="id-ID"/>
        </w:rPr>
        <w:t>Service Quality, Customer Satisfaction, and Retention</w:t>
      </w:r>
    </w:p>
    <w:p w14:paraId="2AB1C338" w14:textId="66068CDC" w:rsidR="007006ED" w:rsidRPr="007006ED" w:rsidRDefault="007006ED" w:rsidP="008310AB">
      <w:pPr>
        <w:rPr>
          <w:bCs/>
          <w:color w:val="000000"/>
          <w:szCs w:val="20"/>
          <w:lang w:val="id-ID"/>
        </w:rPr>
      </w:pPr>
      <w:r w:rsidRPr="007006ED">
        <w:rPr>
          <w:bCs/>
          <w:color w:val="000000"/>
          <w:szCs w:val="20"/>
          <w:lang w:val="id-ID"/>
        </w:rPr>
        <w:t>Service quality is a fundamental determinant of customer retention and loyalty (Parasuraman, Zeithaml, &amp; Berry, 1985; Zeithaml, Berry, &amp; Parasuraman, 2018). Studies in both hospitality and education contexts indicate that high service quality enhances satisfaction, trust, and loyalty (Ali et al., 2016; Lee &amp; Hwan, 2019). In Sharia-compliant hospitality, ethical service delivery and culturally aligned practices further reinforce customer satisfaction and loyalty (Abdullah &amp; Toyib, 2018; Febrianto &amp; Damayanti, 2021).</w:t>
      </w:r>
      <w:r>
        <w:rPr>
          <w:bCs/>
          <w:color w:val="000000"/>
          <w:szCs w:val="20"/>
          <w:lang w:val="id-ID"/>
        </w:rPr>
        <w:t xml:space="preserve"> </w:t>
      </w:r>
      <w:r w:rsidRPr="007006ED">
        <w:rPr>
          <w:bCs/>
          <w:color w:val="000000"/>
          <w:szCs w:val="20"/>
          <w:lang w:val="id-ID"/>
        </w:rPr>
        <w:t>The integration of customer relationship management (CRM) with service quality has been identified as a key strategy for retaining customers (Al-Shbiel &amp; Ahmad, 2018; Gupta &amp; Singh, 2022). CRM systems facilitate personalized interactions, track customer preferences, and support loyalty program management, contributing to a more engaging and meaningful customer experience. Rachman et al. (2023) and Raman et al. (2022) further assert that combining CRM and loyalty initiatives enhances retention by fostering trust, perceived value, and relational commitment.</w:t>
      </w:r>
    </w:p>
    <w:p w14:paraId="55E4FC23" w14:textId="71BC911E" w:rsidR="007006ED" w:rsidRPr="008310AB" w:rsidRDefault="00E4452F" w:rsidP="008310AB">
      <w:pPr>
        <w:rPr>
          <w:b/>
          <w:color w:val="000000"/>
          <w:szCs w:val="20"/>
          <w:lang w:val="id-ID"/>
        </w:rPr>
      </w:pPr>
      <w:r w:rsidRPr="008310AB">
        <w:rPr>
          <w:b/>
          <w:color w:val="000000"/>
          <w:szCs w:val="20"/>
          <w:lang w:val="id-ID"/>
        </w:rPr>
        <w:t>1.2.</w:t>
      </w:r>
      <w:r w:rsidR="008310AB">
        <w:rPr>
          <w:b/>
          <w:color w:val="000000"/>
          <w:szCs w:val="20"/>
          <w:lang w:val="en-GB"/>
        </w:rPr>
        <w:t xml:space="preserve"> </w:t>
      </w:r>
      <w:r w:rsidR="007006ED" w:rsidRPr="008310AB">
        <w:rPr>
          <w:b/>
          <w:color w:val="000000"/>
          <w:szCs w:val="20"/>
          <w:lang w:val="id-ID"/>
        </w:rPr>
        <w:t>Gap Analysis</w:t>
      </w:r>
    </w:p>
    <w:p w14:paraId="17A4F3C7" w14:textId="30E3EF02" w:rsidR="007006ED" w:rsidRPr="007006ED" w:rsidRDefault="007006ED" w:rsidP="008310AB">
      <w:pPr>
        <w:rPr>
          <w:bCs/>
          <w:color w:val="000000"/>
          <w:szCs w:val="20"/>
          <w:lang w:val="id-ID"/>
        </w:rPr>
      </w:pPr>
      <w:r w:rsidRPr="007006ED">
        <w:rPr>
          <w:bCs/>
          <w:color w:val="000000"/>
          <w:szCs w:val="20"/>
          <w:lang w:val="id-ID"/>
        </w:rPr>
        <w:t>While existing studies provide substantial evidence of the effectiveness of loyalty programs and service quality in customer retention, notable gaps remain:</w:t>
      </w:r>
      <w:r>
        <w:rPr>
          <w:bCs/>
          <w:color w:val="000000"/>
          <w:szCs w:val="20"/>
          <w:lang w:val="id-ID"/>
        </w:rPr>
        <w:t xml:space="preserve"> </w:t>
      </w:r>
      <w:r w:rsidRPr="007006ED">
        <w:rPr>
          <w:bCs/>
          <w:color w:val="000000"/>
          <w:szCs w:val="20"/>
          <w:lang w:val="id-ID"/>
        </w:rPr>
        <w:t>Contextual Gap: Most research has focused on large hotels or international chains, leaving small-scale, culturally specific accommodations underexplored (Wijaya, 2005). The dynamics of customer loyalty in Sharia-compliant guest houses, where ethical and cultural values intersect with service delivery, are insufficiently understood.</w:t>
      </w:r>
    </w:p>
    <w:p w14:paraId="66AD281D" w14:textId="77777777" w:rsidR="009265DA" w:rsidRDefault="007006ED" w:rsidP="008310AB">
      <w:pPr>
        <w:rPr>
          <w:bCs/>
          <w:color w:val="000000"/>
          <w:szCs w:val="20"/>
          <w:lang w:val="id-ID"/>
        </w:rPr>
      </w:pPr>
      <w:r w:rsidRPr="007006ED">
        <w:rPr>
          <w:bCs/>
          <w:color w:val="000000"/>
          <w:szCs w:val="20"/>
          <w:lang w:val="id-ID"/>
        </w:rPr>
        <w:t>Methodological Gap: Quantitative surveys dominate the literature, emphasizing behavioral metrics such as repeat visits and reward redemption rates. Qualitative studies exploring subjective experiences, emotions, and motivations of guests remain scarce (Creswell, 2018; Moleong, 2017)</w:t>
      </w:r>
      <w:r>
        <w:rPr>
          <w:bCs/>
          <w:color w:val="000000"/>
          <w:szCs w:val="20"/>
          <w:lang w:val="id-ID"/>
        </w:rPr>
        <w:t>.</w:t>
      </w:r>
    </w:p>
    <w:p w14:paraId="7652B89C" w14:textId="710EFA81" w:rsidR="007006ED" w:rsidRPr="007006ED" w:rsidRDefault="007006ED" w:rsidP="008310AB">
      <w:pPr>
        <w:rPr>
          <w:bCs/>
          <w:color w:val="000000"/>
          <w:szCs w:val="20"/>
          <w:lang w:val="id-ID"/>
        </w:rPr>
      </w:pPr>
      <w:r w:rsidRPr="007006ED">
        <w:rPr>
          <w:bCs/>
          <w:color w:val="000000"/>
          <w:szCs w:val="20"/>
          <w:lang w:val="id-ID"/>
        </w:rPr>
        <w:t>Theoretical Gap: Existing models often overlook the integration of cultural, ethical, and relational dimensions in loyalty programs, particularly within Sharia-compliant hospitality. This omission limits understanding of how values-driven services influence retention (Abdullah &amp; Toyib, 2018; Febrianto &amp; Damayanti, 2021).</w:t>
      </w:r>
    </w:p>
    <w:p w14:paraId="1A39CB8C" w14:textId="6804BB37" w:rsidR="007006ED" w:rsidRPr="008310AB" w:rsidRDefault="00E4452F" w:rsidP="008310AB">
      <w:pPr>
        <w:rPr>
          <w:b/>
          <w:color w:val="000000"/>
          <w:szCs w:val="20"/>
          <w:lang w:val="id-ID"/>
        </w:rPr>
      </w:pPr>
      <w:r w:rsidRPr="008310AB">
        <w:rPr>
          <w:b/>
          <w:color w:val="000000"/>
          <w:szCs w:val="20"/>
          <w:lang w:val="id-ID"/>
        </w:rPr>
        <w:t xml:space="preserve">1.3. </w:t>
      </w:r>
      <w:r w:rsidR="007006ED" w:rsidRPr="008310AB">
        <w:rPr>
          <w:b/>
          <w:color w:val="000000"/>
          <w:szCs w:val="20"/>
          <w:lang w:val="id-ID"/>
        </w:rPr>
        <w:t>State-of-the-Art and Novelty</w:t>
      </w:r>
    </w:p>
    <w:p w14:paraId="7FA393C5" w14:textId="3DD76DFA" w:rsidR="007006ED" w:rsidRPr="007006ED" w:rsidRDefault="007006ED" w:rsidP="008310AB">
      <w:pPr>
        <w:rPr>
          <w:bCs/>
          <w:color w:val="000000"/>
          <w:szCs w:val="20"/>
          <w:lang w:val="id-ID"/>
        </w:rPr>
      </w:pPr>
      <w:r w:rsidRPr="007006ED">
        <w:rPr>
          <w:bCs/>
          <w:color w:val="000000"/>
          <w:szCs w:val="20"/>
          <w:lang w:val="id-ID"/>
        </w:rPr>
        <w:t>This research advances the field by adopting a qualitative approach to explore loyalty programs in a small-scale, Sharia-compliant guest house. By emphasizing human-centered experiences, emotional engagement, and cultural alignment, the study captures nuanced mechanisms that drive customer retention beyond transactional interactions. The novelty lies in:</w:t>
      </w:r>
      <w:r w:rsidR="009265DA">
        <w:rPr>
          <w:bCs/>
          <w:color w:val="000000"/>
          <w:szCs w:val="20"/>
          <w:lang w:val="id-ID"/>
        </w:rPr>
        <w:t xml:space="preserve"> </w:t>
      </w:r>
      <w:r w:rsidRPr="007006ED">
        <w:rPr>
          <w:bCs/>
          <w:color w:val="000000"/>
          <w:szCs w:val="20"/>
          <w:lang w:val="id-ID"/>
        </w:rPr>
        <w:t>Investigating ethically and culturally aligned loyalty programs in the context of Islamic hospitality.</w:t>
      </w:r>
      <w:r w:rsidR="009265DA">
        <w:rPr>
          <w:bCs/>
          <w:color w:val="000000"/>
          <w:szCs w:val="20"/>
          <w:lang w:val="id-ID"/>
        </w:rPr>
        <w:t xml:space="preserve"> </w:t>
      </w:r>
      <w:r w:rsidRPr="007006ED">
        <w:rPr>
          <w:bCs/>
          <w:color w:val="000000"/>
          <w:szCs w:val="20"/>
          <w:lang w:val="id-ID"/>
        </w:rPr>
        <w:t>Utilizing qualitative methods to explore customer perceptions, motivations, and lived experiences.</w:t>
      </w:r>
      <w:r w:rsidR="009265DA">
        <w:rPr>
          <w:bCs/>
          <w:color w:val="000000"/>
          <w:szCs w:val="20"/>
          <w:lang w:val="id-ID"/>
        </w:rPr>
        <w:t xml:space="preserve"> </w:t>
      </w:r>
      <w:r w:rsidRPr="007006ED">
        <w:rPr>
          <w:bCs/>
          <w:color w:val="000000"/>
          <w:szCs w:val="20"/>
          <w:lang w:val="id-ID"/>
        </w:rPr>
        <w:lastRenderedPageBreak/>
        <w:t>Bridging theoretical frameworks of CRM, service quality, and loyalty programs with cultural and ethical considerations, offering both academic and managerial insights.</w:t>
      </w:r>
    </w:p>
    <w:p w14:paraId="6F02CDE6" w14:textId="674F3B99" w:rsidR="007006ED" w:rsidRPr="008310AB" w:rsidRDefault="00E4452F" w:rsidP="008310AB">
      <w:pPr>
        <w:rPr>
          <w:b/>
          <w:color w:val="000000"/>
          <w:szCs w:val="20"/>
          <w:lang w:val="id-ID"/>
        </w:rPr>
      </w:pPr>
      <w:r w:rsidRPr="008310AB">
        <w:rPr>
          <w:b/>
          <w:color w:val="000000"/>
          <w:szCs w:val="20"/>
          <w:lang w:val="id-ID"/>
        </w:rPr>
        <w:t xml:space="preserve">1.4. </w:t>
      </w:r>
      <w:r w:rsidR="007006ED" w:rsidRPr="008310AB">
        <w:rPr>
          <w:b/>
          <w:color w:val="000000"/>
          <w:szCs w:val="20"/>
          <w:lang w:val="id-ID"/>
        </w:rPr>
        <w:t>The Reason for This Research</w:t>
      </w:r>
    </w:p>
    <w:p w14:paraId="5C30C215" w14:textId="737A78A1" w:rsidR="007006ED" w:rsidRPr="007006ED" w:rsidRDefault="007006ED" w:rsidP="008310AB">
      <w:pPr>
        <w:rPr>
          <w:bCs/>
          <w:color w:val="000000"/>
          <w:szCs w:val="20"/>
          <w:lang w:val="id-ID"/>
        </w:rPr>
      </w:pPr>
      <w:r w:rsidRPr="007006ED">
        <w:rPr>
          <w:bCs/>
          <w:color w:val="000000"/>
          <w:szCs w:val="20"/>
          <w:lang w:val="id-ID"/>
        </w:rPr>
        <w:t>This study is motivated by the need to address gaps in the existing literature regarding small-scale, culturally specific hospitality contexts. Rumah Jawa Syariah Guest House presents a unique environment where service delivery integrates Sharia principles, offering opportunities to examine how loyalty programs influence retention when ethical, cultural, and emotional factors are central.</w:t>
      </w:r>
      <w:r w:rsidR="009265DA">
        <w:rPr>
          <w:bCs/>
          <w:color w:val="000000"/>
          <w:szCs w:val="20"/>
          <w:lang w:val="id-ID"/>
        </w:rPr>
        <w:t xml:space="preserve"> </w:t>
      </w:r>
      <w:r w:rsidRPr="007006ED">
        <w:rPr>
          <w:bCs/>
          <w:color w:val="000000"/>
          <w:szCs w:val="20"/>
          <w:lang w:val="id-ID"/>
        </w:rPr>
        <w:t>Understanding guest experiences and perceptions provides actionable insights for managers seeking to enhance loyalty and retention. Moreover, a qualitative exploration contributes to theory development by highlighting relational, emotional, and cultural dimensions often overlooked in conventional research (Finlay, 2002; Van Maanen, 2011). The study thereby serves both practical and theoretical purposes, informing service design while enriching academic understanding of loyalty in ethically grounded hospitality.</w:t>
      </w:r>
    </w:p>
    <w:p w14:paraId="6FFA1A60" w14:textId="333C35D2" w:rsidR="007006ED" w:rsidRPr="008310AB" w:rsidRDefault="00E4452F" w:rsidP="008310AB">
      <w:pPr>
        <w:rPr>
          <w:b/>
          <w:color w:val="000000"/>
          <w:szCs w:val="20"/>
          <w:lang w:val="id-ID"/>
        </w:rPr>
      </w:pPr>
      <w:r w:rsidRPr="008310AB">
        <w:rPr>
          <w:b/>
          <w:color w:val="000000"/>
          <w:szCs w:val="20"/>
          <w:lang w:val="id-ID"/>
        </w:rPr>
        <w:t xml:space="preserve">1.5. </w:t>
      </w:r>
      <w:r w:rsidR="007006ED" w:rsidRPr="008310AB">
        <w:rPr>
          <w:b/>
          <w:color w:val="000000"/>
          <w:szCs w:val="20"/>
          <w:lang w:val="id-ID"/>
        </w:rPr>
        <w:t>Research Questions and Purpose</w:t>
      </w:r>
    </w:p>
    <w:p w14:paraId="45D9BA8E" w14:textId="77777777" w:rsidR="00E4452F" w:rsidRDefault="007006ED" w:rsidP="008310AB">
      <w:pPr>
        <w:rPr>
          <w:bCs/>
          <w:color w:val="000000"/>
          <w:szCs w:val="20"/>
          <w:lang w:val="id-ID"/>
        </w:rPr>
      </w:pPr>
      <w:r w:rsidRPr="007006ED">
        <w:rPr>
          <w:bCs/>
          <w:color w:val="000000"/>
          <w:szCs w:val="20"/>
          <w:lang w:val="id-ID"/>
        </w:rPr>
        <w:t>The primary objective of this study is to explore how loyalty programs influence customer retention at Rumah Jawa Syariah Guest House. Specifically, it aims to answer the following questions:</w:t>
      </w:r>
      <w:r>
        <w:rPr>
          <w:bCs/>
          <w:color w:val="000000"/>
          <w:szCs w:val="20"/>
          <w:lang w:val="id-ID"/>
        </w:rPr>
        <w:t xml:space="preserve"> </w:t>
      </w:r>
      <w:r w:rsidRPr="007006ED">
        <w:rPr>
          <w:bCs/>
          <w:color w:val="000000"/>
          <w:szCs w:val="20"/>
          <w:lang w:val="id-ID"/>
        </w:rPr>
        <w:t>How do guests perceive and experience loyalty programs at Rumah Jawa Syariah Guest House?</w:t>
      </w:r>
      <w:r>
        <w:rPr>
          <w:bCs/>
          <w:color w:val="000000"/>
          <w:szCs w:val="20"/>
          <w:lang w:val="id-ID"/>
        </w:rPr>
        <w:t xml:space="preserve"> </w:t>
      </w:r>
      <w:r w:rsidRPr="007006ED">
        <w:rPr>
          <w:bCs/>
          <w:color w:val="000000"/>
          <w:szCs w:val="20"/>
          <w:lang w:val="id-ID"/>
        </w:rPr>
        <w:t>What aspects of loyalty programs most significantly contribute to repeat visits and long-term engagement?</w:t>
      </w:r>
      <w:r>
        <w:rPr>
          <w:bCs/>
          <w:color w:val="000000"/>
          <w:szCs w:val="20"/>
          <w:lang w:val="id-ID"/>
        </w:rPr>
        <w:t xml:space="preserve"> </w:t>
      </w:r>
      <w:r w:rsidRPr="007006ED">
        <w:rPr>
          <w:bCs/>
          <w:color w:val="000000"/>
          <w:szCs w:val="20"/>
          <w:lang w:val="id-ID"/>
        </w:rPr>
        <w:t>How do ethical, cultural, and relational factors shape guests’ participation in loyalty initiatives?</w:t>
      </w:r>
      <w:r>
        <w:rPr>
          <w:bCs/>
          <w:color w:val="000000"/>
          <w:szCs w:val="20"/>
          <w:lang w:val="id-ID"/>
        </w:rPr>
        <w:t xml:space="preserve"> </w:t>
      </w:r>
      <w:r w:rsidRPr="007006ED">
        <w:rPr>
          <w:bCs/>
          <w:color w:val="000000"/>
          <w:szCs w:val="20"/>
          <w:lang w:val="id-ID"/>
        </w:rPr>
        <w:t>By addressing these questions, the study seeks to contribute to knowledge on loyalty program design, customer relationship management, and service quality in small, culturally specific hospitality contexts, offering insights that are both academically rigorous and practically relevant.</w:t>
      </w:r>
      <w:bookmarkEnd w:id="1"/>
    </w:p>
    <w:p w14:paraId="6C6958E7" w14:textId="2DDCF64C" w:rsidR="00E4452F" w:rsidRPr="008310AB" w:rsidRDefault="00FD5205" w:rsidP="008310AB">
      <w:pPr>
        <w:pStyle w:val="ListParagraph"/>
        <w:numPr>
          <w:ilvl w:val="0"/>
          <w:numId w:val="10"/>
        </w:numPr>
        <w:spacing w:before="240"/>
        <w:ind w:left="284" w:hanging="284"/>
        <w:rPr>
          <w:b/>
          <w:bCs/>
          <w:lang w:val="en"/>
        </w:rPr>
      </w:pPr>
      <w:r w:rsidRPr="008310AB">
        <w:rPr>
          <w:b/>
          <w:bCs/>
          <w:lang w:val="en"/>
        </w:rPr>
        <w:t>Research Methods</w:t>
      </w:r>
    </w:p>
    <w:p w14:paraId="4A2ED5D4" w14:textId="58391695" w:rsidR="00E4452F" w:rsidRPr="008310AB" w:rsidRDefault="00E4452F" w:rsidP="008310AB">
      <w:pPr>
        <w:rPr>
          <w:b/>
          <w:bCs/>
          <w:color w:val="000000"/>
          <w:szCs w:val="20"/>
          <w:lang w:val="en"/>
        </w:rPr>
      </w:pPr>
      <w:r w:rsidRPr="008310AB">
        <w:rPr>
          <w:b/>
          <w:bCs/>
          <w:color w:val="000000"/>
          <w:szCs w:val="20"/>
          <w:lang w:val="en"/>
        </w:rPr>
        <w:t>2.1. Research Design</w:t>
      </w:r>
    </w:p>
    <w:p w14:paraId="6D5784AD" w14:textId="77777777" w:rsidR="00E4452F" w:rsidRDefault="00E4452F" w:rsidP="008310AB">
      <w:pPr>
        <w:rPr>
          <w:color w:val="000000"/>
          <w:szCs w:val="20"/>
          <w:lang w:val="en"/>
        </w:rPr>
      </w:pPr>
      <w:r w:rsidRPr="00E4452F">
        <w:rPr>
          <w:color w:val="000000"/>
          <w:szCs w:val="20"/>
          <w:lang w:val="en"/>
        </w:rPr>
        <w:t>This study adopts a qualitative research design, focusing on understanding the subjective experiences and perceptions of guests participating in loyalty programs at Rumah Jawa Syariah Guest House. A qualitative approach is chosen due to its capacity to capture rich, contextual, and nuanced data that cannot be fully understood through quantitative methods alone (Creswell, 2018; Denzin &amp; Lincoln, 2011). The research emphasizes human-centered understanding, seeking to explore how loyalty programs influence emotional attachment, trust, and long-term retention in the context of Sharia-compliant hospitality.</w:t>
      </w:r>
      <w:r>
        <w:rPr>
          <w:color w:val="000000"/>
          <w:szCs w:val="20"/>
          <w:lang w:val="en"/>
        </w:rPr>
        <w:t xml:space="preserve"> </w:t>
      </w:r>
      <w:r w:rsidRPr="00E4452F">
        <w:rPr>
          <w:color w:val="000000"/>
          <w:szCs w:val="20"/>
          <w:lang w:val="en"/>
        </w:rPr>
        <w:t>The study is grounded in constructivist and interpretivist paradigms, which assert that knowledge is socially constructed and context-dependent (Lincoln &amp; Guba, 1985; Lincoln &amp; Guba, 2020). This approach aligns with the study’s aim to explore the meanings, motivations, and lived experiences of guests, rather than merely measuring behaviors or transactional outcomes (Husserl, 1970; Finlay, 2002). Furthermore, the study draws upon theories of customer loyalty, service quality, and CRM, integrating them within the ethical and cultural context of Sharia-compliant hospitality (Griffin, 2005; Berry, Zeithaml, &amp; Parasuraman, 2002; Raman et al., 2022).</w:t>
      </w:r>
    </w:p>
    <w:p w14:paraId="004984A6" w14:textId="5E805986" w:rsidR="00E4452F" w:rsidRPr="008310AB" w:rsidRDefault="00F96337" w:rsidP="008310AB">
      <w:pPr>
        <w:rPr>
          <w:b/>
          <w:bCs/>
          <w:color w:val="000000"/>
          <w:szCs w:val="20"/>
          <w:lang w:val="en"/>
        </w:rPr>
      </w:pPr>
      <w:r w:rsidRPr="008310AB">
        <w:rPr>
          <w:b/>
          <w:bCs/>
          <w:color w:val="000000"/>
          <w:szCs w:val="20"/>
          <w:lang w:val="en"/>
        </w:rPr>
        <w:t>2.</w:t>
      </w:r>
      <w:r w:rsidR="00E4452F" w:rsidRPr="008310AB">
        <w:rPr>
          <w:b/>
          <w:bCs/>
          <w:color w:val="000000"/>
          <w:szCs w:val="20"/>
          <w:lang w:val="en"/>
        </w:rPr>
        <w:t>2. Research Setting and Participants</w:t>
      </w:r>
    </w:p>
    <w:p w14:paraId="41F49811" w14:textId="77777777" w:rsidR="008310AB" w:rsidRDefault="00E4452F" w:rsidP="008310AB">
      <w:pPr>
        <w:rPr>
          <w:color w:val="000000"/>
          <w:szCs w:val="20"/>
          <w:lang w:val="en"/>
        </w:rPr>
      </w:pPr>
      <w:r w:rsidRPr="00E4452F">
        <w:rPr>
          <w:color w:val="000000"/>
          <w:szCs w:val="20"/>
          <w:lang w:val="en"/>
        </w:rPr>
        <w:t xml:space="preserve">The research is conducted at Rumah Jawa Syariah Guest House, a small-scale accommodation that adheres to Islamic values and principles in its service delivery. This setting provides a unique context to study loyalty programs in a culturally grounded environment, where ethical service practices and customer-centered approaches are integral (Abdullah &amp; </w:t>
      </w:r>
      <w:proofErr w:type="spellStart"/>
      <w:r w:rsidRPr="00E4452F">
        <w:rPr>
          <w:color w:val="000000"/>
          <w:szCs w:val="20"/>
          <w:lang w:val="en"/>
        </w:rPr>
        <w:t>Toyib</w:t>
      </w:r>
      <w:proofErr w:type="spellEnd"/>
      <w:r w:rsidRPr="00E4452F">
        <w:rPr>
          <w:color w:val="000000"/>
          <w:szCs w:val="20"/>
          <w:lang w:val="en"/>
        </w:rPr>
        <w:t xml:space="preserve">, 2018; </w:t>
      </w:r>
      <w:proofErr w:type="spellStart"/>
      <w:r w:rsidRPr="00E4452F">
        <w:rPr>
          <w:color w:val="000000"/>
          <w:szCs w:val="20"/>
          <w:lang w:val="en"/>
        </w:rPr>
        <w:t>Febrianto</w:t>
      </w:r>
      <w:proofErr w:type="spellEnd"/>
      <w:r w:rsidRPr="00E4452F">
        <w:rPr>
          <w:color w:val="000000"/>
          <w:szCs w:val="20"/>
          <w:lang w:val="en"/>
        </w:rPr>
        <w:t xml:space="preserve"> &amp; Damayanti, 2021).</w:t>
      </w:r>
      <w:r>
        <w:rPr>
          <w:color w:val="000000"/>
          <w:szCs w:val="20"/>
          <w:lang w:val="en"/>
        </w:rPr>
        <w:t xml:space="preserve"> </w:t>
      </w:r>
      <w:r w:rsidRPr="00E4452F">
        <w:rPr>
          <w:color w:val="000000"/>
          <w:szCs w:val="20"/>
          <w:lang w:val="en"/>
        </w:rPr>
        <w:t>Participants are purposively selected using criterion sampling, ensuring that all interviewees have experienced or participated in the guest house’s loyalty programs (</w:t>
      </w:r>
      <w:proofErr w:type="spellStart"/>
      <w:r w:rsidRPr="00E4452F">
        <w:rPr>
          <w:color w:val="000000"/>
          <w:szCs w:val="20"/>
          <w:lang w:val="en"/>
        </w:rPr>
        <w:t>Moleong</w:t>
      </w:r>
      <w:proofErr w:type="spellEnd"/>
      <w:r w:rsidRPr="00E4452F">
        <w:rPr>
          <w:color w:val="000000"/>
          <w:szCs w:val="20"/>
          <w:lang w:val="en"/>
        </w:rPr>
        <w:t xml:space="preserve">, 2017; </w:t>
      </w:r>
      <w:proofErr w:type="spellStart"/>
      <w:r w:rsidRPr="00E4452F">
        <w:rPr>
          <w:color w:val="000000"/>
          <w:szCs w:val="20"/>
          <w:lang w:val="en"/>
        </w:rPr>
        <w:t>Sugiyono</w:t>
      </w:r>
      <w:proofErr w:type="spellEnd"/>
      <w:r w:rsidRPr="00E4452F">
        <w:rPr>
          <w:color w:val="000000"/>
          <w:szCs w:val="20"/>
          <w:lang w:val="en"/>
        </w:rPr>
        <w:t>, 2019). The sample includes guests of diverse demographic backgrounds, as well as management staff responsible for implementing loyalty initiatives, to provide a comprehensive understanding of both customer and organizational perspectives (Kvale, 1996; Creswell, 2018).</w:t>
      </w:r>
      <w:r>
        <w:rPr>
          <w:color w:val="000000"/>
          <w:szCs w:val="20"/>
          <w:lang w:val="en"/>
        </w:rPr>
        <w:t xml:space="preserve"> </w:t>
      </w:r>
      <w:r w:rsidRPr="00E4452F">
        <w:rPr>
          <w:color w:val="000000"/>
          <w:szCs w:val="20"/>
          <w:lang w:val="en"/>
        </w:rPr>
        <w:t>The inclusion criteria for guest participants include:</w:t>
      </w:r>
      <w:r>
        <w:rPr>
          <w:color w:val="000000"/>
          <w:szCs w:val="20"/>
          <w:lang w:val="en"/>
        </w:rPr>
        <w:t xml:space="preserve"> </w:t>
      </w:r>
      <w:r w:rsidRPr="00E4452F">
        <w:rPr>
          <w:color w:val="000000"/>
          <w:szCs w:val="20"/>
          <w:lang w:val="en"/>
        </w:rPr>
        <w:t>Having stayed at the guest house at least twice within the past year.</w:t>
      </w:r>
      <w:r>
        <w:rPr>
          <w:color w:val="000000"/>
          <w:szCs w:val="20"/>
          <w:lang w:val="en"/>
        </w:rPr>
        <w:t xml:space="preserve"> </w:t>
      </w:r>
      <w:r w:rsidRPr="00E4452F">
        <w:rPr>
          <w:color w:val="000000"/>
          <w:szCs w:val="20"/>
          <w:lang w:val="en"/>
        </w:rPr>
        <w:t>Having participated in the loyalty program at last once.</w:t>
      </w:r>
      <w:r>
        <w:rPr>
          <w:color w:val="000000"/>
          <w:szCs w:val="20"/>
          <w:lang w:val="en"/>
        </w:rPr>
        <w:t xml:space="preserve"> </w:t>
      </w:r>
      <w:r w:rsidRPr="00E4452F">
        <w:rPr>
          <w:color w:val="000000"/>
          <w:szCs w:val="20"/>
          <w:lang w:val="en"/>
        </w:rPr>
        <w:t>Willingness to provide detailed reflections on their experiences.</w:t>
      </w:r>
      <w:r>
        <w:rPr>
          <w:color w:val="000000"/>
          <w:szCs w:val="20"/>
          <w:lang w:val="en"/>
        </w:rPr>
        <w:t xml:space="preserve"> </w:t>
      </w:r>
      <w:r w:rsidRPr="00E4452F">
        <w:rPr>
          <w:color w:val="000000"/>
          <w:szCs w:val="20"/>
          <w:lang w:val="en"/>
        </w:rPr>
        <w:t>For management participants, criteria include:</w:t>
      </w:r>
      <w:r>
        <w:rPr>
          <w:color w:val="000000"/>
          <w:szCs w:val="20"/>
          <w:lang w:val="en"/>
        </w:rPr>
        <w:t xml:space="preserve"> </w:t>
      </w:r>
      <w:r w:rsidRPr="00E4452F">
        <w:rPr>
          <w:color w:val="000000"/>
          <w:szCs w:val="20"/>
          <w:lang w:val="en"/>
        </w:rPr>
        <w:t>Direct involvement in loyalty program design or execution.</w:t>
      </w:r>
      <w:r>
        <w:rPr>
          <w:color w:val="000000"/>
          <w:szCs w:val="20"/>
          <w:lang w:val="en"/>
        </w:rPr>
        <w:t xml:space="preserve"> </w:t>
      </w:r>
      <w:r w:rsidRPr="00E4452F">
        <w:rPr>
          <w:color w:val="000000"/>
          <w:szCs w:val="20"/>
          <w:lang w:val="en"/>
        </w:rPr>
        <w:t>Knowledge of customer engagement s</w:t>
      </w:r>
      <w:r>
        <w:rPr>
          <w:color w:val="000000"/>
          <w:szCs w:val="20"/>
          <w:lang w:val="en"/>
        </w:rPr>
        <w:t>tr</w:t>
      </w:r>
      <w:r w:rsidRPr="00E4452F">
        <w:rPr>
          <w:color w:val="000000"/>
          <w:szCs w:val="20"/>
          <w:lang w:val="en"/>
        </w:rPr>
        <w:t>ategies and program evaluation.</w:t>
      </w:r>
      <w:r>
        <w:rPr>
          <w:color w:val="000000"/>
          <w:szCs w:val="20"/>
          <w:lang w:val="en"/>
        </w:rPr>
        <w:t xml:space="preserve"> </w:t>
      </w:r>
      <w:r w:rsidRPr="00E4452F">
        <w:rPr>
          <w:color w:val="000000"/>
          <w:szCs w:val="20"/>
          <w:lang w:val="en"/>
        </w:rPr>
        <w:t xml:space="preserve">A total of 15–20 participants are planned, </w:t>
      </w:r>
      <w:r w:rsidRPr="00E4452F">
        <w:rPr>
          <w:color w:val="000000"/>
          <w:szCs w:val="20"/>
          <w:lang w:val="en"/>
        </w:rPr>
        <w:lastRenderedPageBreak/>
        <w:t xml:space="preserve">which is deemed sufficient to achieve data saturation, where no new themes emerge (Miles, Huberman, &amp; Saldaña, 2014; Van </w:t>
      </w:r>
      <w:proofErr w:type="spellStart"/>
      <w:r w:rsidRPr="00E4452F">
        <w:rPr>
          <w:color w:val="000000"/>
          <w:szCs w:val="20"/>
          <w:lang w:val="en"/>
        </w:rPr>
        <w:t>Maanen</w:t>
      </w:r>
      <w:proofErr w:type="spellEnd"/>
      <w:r w:rsidRPr="00E4452F">
        <w:rPr>
          <w:color w:val="000000"/>
          <w:szCs w:val="20"/>
          <w:lang w:val="en"/>
        </w:rPr>
        <w:t>, 2011).</w:t>
      </w:r>
    </w:p>
    <w:p w14:paraId="3B63533A" w14:textId="77777777" w:rsidR="008310AB" w:rsidRPr="008310AB" w:rsidRDefault="00F96337" w:rsidP="008310AB">
      <w:pPr>
        <w:rPr>
          <w:b/>
          <w:bCs/>
          <w:color w:val="000000"/>
          <w:szCs w:val="20"/>
          <w:lang w:val="en"/>
        </w:rPr>
      </w:pPr>
      <w:r w:rsidRPr="008310AB">
        <w:rPr>
          <w:b/>
          <w:bCs/>
          <w:color w:val="000000"/>
          <w:szCs w:val="20"/>
          <w:lang w:val="en"/>
        </w:rPr>
        <w:t>2.</w:t>
      </w:r>
      <w:r w:rsidR="00E4452F" w:rsidRPr="008310AB">
        <w:rPr>
          <w:b/>
          <w:bCs/>
          <w:color w:val="000000"/>
          <w:szCs w:val="20"/>
          <w:lang w:val="en"/>
        </w:rPr>
        <w:t>3. Data Collection Methods</w:t>
      </w:r>
    </w:p>
    <w:p w14:paraId="496AE4E6" w14:textId="77777777" w:rsidR="008310AB" w:rsidRDefault="00F96337" w:rsidP="008310AB">
      <w:pPr>
        <w:rPr>
          <w:color w:val="000000"/>
          <w:szCs w:val="20"/>
          <w:lang w:val="en"/>
        </w:rPr>
      </w:pPr>
      <w:r>
        <w:rPr>
          <w:color w:val="000000"/>
          <w:szCs w:val="20"/>
          <w:lang w:val="en"/>
        </w:rPr>
        <w:t>2.</w:t>
      </w:r>
      <w:r w:rsidR="00E4452F" w:rsidRPr="00E4452F">
        <w:rPr>
          <w:color w:val="000000"/>
          <w:szCs w:val="20"/>
          <w:lang w:val="en"/>
        </w:rPr>
        <w:t>3.1 In-depth Interviews</w:t>
      </w:r>
    </w:p>
    <w:p w14:paraId="33784379" w14:textId="77777777" w:rsidR="008310AB" w:rsidRDefault="00E4452F" w:rsidP="008310AB">
      <w:pPr>
        <w:rPr>
          <w:color w:val="000000"/>
          <w:szCs w:val="20"/>
          <w:lang w:val="en"/>
        </w:rPr>
      </w:pPr>
      <w:r w:rsidRPr="00E4452F">
        <w:rPr>
          <w:color w:val="000000"/>
          <w:szCs w:val="20"/>
          <w:lang w:val="en"/>
        </w:rPr>
        <w:t>Semi-structured interviews are the primary data collection method, allowing participants to express their experiences, feelings, and perceptions in their own words (Kvale, 1996; Creswell, 2018). Interviews are conducted face-to-face when possible, or via secure online platforms when necessary. An interview guide is developed, covering topics such as:</w:t>
      </w:r>
      <w:r>
        <w:rPr>
          <w:color w:val="000000"/>
          <w:szCs w:val="20"/>
          <w:lang w:val="en"/>
        </w:rPr>
        <w:t xml:space="preserve"> </w:t>
      </w:r>
      <w:r w:rsidRPr="00E4452F">
        <w:rPr>
          <w:color w:val="000000"/>
          <w:szCs w:val="20"/>
          <w:lang w:val="en"/>
        </w:rPr>
        <w:t>Motivations for participating in loyalty programs.</w:t>
      </w:r>
      <w:r>
        <w:rPr>
          <w:color w:val="000000"/>
          <w:szCs w:val="20"/>
          <w:lang w:val="en"/>
        </w:rPr>
        <w:t xml:space="preserve"> </w:t>
      </w:r>
      <w:r w:rsidRPr="00E4452F">
        <w:rPr>
          <w:color w:val="000000"/>
          <w:szCs w:val="20"/>
          <w:lang w:val="en"/>
        </w:rPr>
        <w:t>Perceptions of rewards, personalization, and service quality.</w:t>
      </w:r>
      <w:r>
        <w:rPr>
          <w:color w:val="000000"/>
          <w:szCs w:val="20"/>
          <w:lang w:val="en"/>
        </w:rPr>
        <w:t xml:space="preserve"> </w:t>
      </w:r>
      <w:r w:rsidRPr="00E4452F">
        <w:rPr>
          <w:color w:val="000000"/>
          <w:szCs w:val="20"/>
          <w:lang w:val="en"/>
        </w:rPr>
        <w:t>Emotional and relational aspects influencing return behavior.</w:t>
      </w:r>
      <w:r>
        <w:rPr>
          <w:color w:val="000000"/>
          <w:szCs w:val="20"/>
          <w:lang w:val="en"/>
        </w:rPr>
        <w:t xml:space="preserve"> </w:t>
      </w:r>
      <w:r w:rsidRPr="00E4452F">
        <w:rPr>
          <w:color w:val="000000"/>
          <w:szCs w:val="20"/>
          <w:lang w:val="en"/>
        </w:rPr>
        <w:t>Suggestions for improvement of loyalty initiatives.</w:t>
      </w:r>
      <w:r>
        <w:rPr>
          <w:color w:val="000000"/>
          <w:szCs w:val="20"/>
          <w:lang w:val="en"/>
        </w:rPr>
        <w:t xml:space="preserve"> </w:t>
      </w:r>
      <w:r w:rsidRPr="00E4452F">
        <w:rPr>
          <w:color w:val="000000"/>
          <w:szCs w:val="20"/>
          <w:lang w:val="en"/>
        </w:rPr>
        <w:t xml:space="preserve">Interviews are audio-recorded with participants’ consent and transcribed verbatim for subsequent analysis (Lincoln &amp; Guba, 1985; </w:t>
      </w:r>
      <w:proofErr w:type="spellStart"/>
      <w:r w:rsidRPr="00E4452F">
        <w:rPr>
          <w:color w:val="000000"/>
          <w:szCs w:val="20"/>
          <w:lang w:val="en"/>
        </w:rPr>
        <w:t>Moleong</w:t>
      </w:r>
      <w:proofErr w:type="spellEnd"/>
      <w:r w:rsidRPr="00E4452F">
        <w:rPr>
          <w:color w:val="000000"/>
          <w:szCs w:val="20"/>
          <w:lang w:val="en"/>
        </w:rPr>
        <w:t>, 2017). Each interview lasts approximately 45–60 minutes, providing rich narratives and detailed insights.</w:t>
      </w:r>
    </w:p>
    <w:p w14:paraId="6173FC7C" w14:textId="77777777" w:rsidR="008310AB" w:rsidRDefault="00F96337" w:rsidP="008310AB">
      <w:pPr>
        <w:rPr>
          <w:color w:val="000000"/>
          <w:szCs w:val="20"/>
          <w:lang w:val="en"/>
        </w:rPr>
      </w:pPr>
      <w:r>
        <w:rPr>
          <w:color w:val="000000"/>
          <w:szCs w:val="20"/>
          <w:lang w:val="en"/>
        </w:rPr>
        <w:t>2.</w:t>
      </w:r>
      <w:r w:rsidR="00E4452F" w:rsidRPr="00E4452F">
        <w:rPr>
          <w:color w:val="000000"/>
          <w:szCs w:val="20"/>
          <w:lang w:val="en"/>
        </w:rPr>
        <w:t>3.2 Observations</w:t>
      </w:r>
    </w:p>
    <w:p w14:paraId="77AF8289" w14:textId="77777777" w:rsidR="008310AB" w:rsidRDefault="00E4452F" w:rsidP="008310AB">
      <w:pPr>
        <w:rPr>
          <w:color w:val="000000"/>
          <w:szCs w:val="20"/>
          <w:lang w:val="en"/>
        </w:rPr>
      </w:pPr>
      <w:r w:rsidRPr="00E4452F">
        <w:rPr>
          <w:color w:val="000000"/>
          <w:szCs w:val="20"/>
          <w:lang w:val="en"/>
        </w:rPr>
        <w:t>Non-participant observation is employed to complement interview data and capture real-time interactions between staff and guests within the loyalty program context (Finlay, 2002; Van Maanen, 2011). Observations focus on:</w:t>
      </w:r>
      <w:r>
        <w:rPr>
          <w:color w:val="000000"/>
          <w:szCs w:val="20"/>
          <w:lang w:val="en"/>
        </w:rPr>
        <w:t xml:space="preserve"> </w:t>
      </w:r>
      <w:r w:rsidRPr="00E4452F">
        <w:rPr>
          <w:color w:val="000000"/>
          <w:szCs w:val="20"/>
          <w:lang w:val="en"/>
        </w:rPr>
        <w:t>Customer engagement during loyalty program activities.</w:t>
      </w:r>
      <w:r>
        <w:rPr>
          <w:color w:val="000000"/>
          <w:szCs w:val="20"/>
          <w:lang w:val="en"/>
        </w:rPr>
        <w:t xml:space="preserve"> </w:t>
      </w:r>
      <w:r w:rsidRPr="00E4452F">
        <w:rPr>
          <w:color w:val="000000"/>
          <w:szCs w:val="20"/>
          <w:lang w:val="en"/>
        </w:rPr>
        <w:t>Staff responsiveness and service quality delivery.</w:t>
      </w:r>
      <w:r>
        <w:rPr>
          <w:color w:val="000000"/>
          <w:szCs w:val="20"/>
          <w:lang w:val="en"/>
        </w:rPr>
        <w:t xml:space="preserve"> </w:t>
      </w:r>
      <w:r w:rsidRPr="00E4452F">
        <w:rPr>
          <w:color w:val="000000"/>
          <w:szCs w:val="20"/>
          <w:lang w:val="en"/>
        </w:rPr>
        <w:t>Environmental and cultural cues reinforcing ethical service practices.</w:t>
      </w:r>
      <w:r>
        <w:rPr>
          <w:color w:val="000000"/>
          <w:szCs w:val="20"/>
          <w:lang w:val="en"/>
        </w:rPr>
        <w:t xml:space="preserve"> </w:t>
      </w:r>
      <w:r w:rsidRPr="00E4452F">
        <w:rPr>
          <w:color w:val="000000"/>
          <w:szCs w:val="20"/>
          <w:lang w:val="en"/>
        </w:rPr>
        <w:t>Detailed field notes are taken, emphasizing observable behaviors, communication patterns, and contextual factors that may influence guest perceptions and retention (Giddens, 1984; Ling &amp; Yen, 2021).</w:t>
      </w:r>
    </w:p>
    <w:p w14:paraId="4047A329" w14:textId="77777777" w:rsidR="008310AB" w:rsidRDefault="00F96337" w:rsidP="008310AB">
      <w:pPr>
        <w:rPr>
          <w:color w:val="000000"/>
          <w:szCs w:val="20"/>
          <w:lang w:val="en"/>
        </w:rPr>
      </w:pPr>
      <w:r>
        <w:rPr>
          <w:color w:val="000000"/>
          <w:szCs w:val="20"/>
          <w:lang w:val="en"/>
        </w:rPr>
        <w:t>2.</w:t>
      </w:r>
      <w:r w:rsidR="00E4452F" w:rsidRPr="00E4452F">
        <w:rPr>
          <w:color w:val="000000"/>
          <w:szCs w:val="20"/>
          <w:lang w:val="en"/>
        </w:rPr>
        <w:t>3.3 Document Analysis</w:t>
      </w:r>
    </w:p>
    <w:p w14:paraId="3AA61EBA" w14:textId="77777777" w:rsidR="008310AB" w:rsidRDefault="00E4452F" w:rsidP="008310AB">
      <w:pPr>
        <w:rPr>
          <w:color w:val="000000"/>
          <w:szCs w:val="20"/>
          <w:lang w:val="en"/>
        </w:rPr>
      </w:pPr>
      <w:r w:rsidRPr="00E4452F">
        <w:rPr>
          <w:color w:val="000000"/>
          <w:szCs w:val="20"/>
          <w:lang w:val="en"/>
        </w:rPr>
        <w:t>Relevant organizational documents are analyzed to triangulate findings and understand program design and evaluation mechanisms. These include:</w:t>
      </w:r>
      <w:r>
        <w:rPr>
          <w:color w:val="000000"/>
          <w:szCs w:val="20"/>
          <w:lang w:val="en"/>
        </w:rPr>
        <w:t xml:space="preserve"> </w:t>
      </w:r>
      <w:r w:rsidRPr="00E4452F">
        <w:rPr>
          <w:color w:val="000000"/>
          <w:szCs w:val="20"/>
          <w:lang w:val="en"/>
        </w:rPr>
        <w:t>Loyalty program manuals and guidelines.</w:t>
      </w:r>
      <w:r>
        <w:rPr>
          <w:color w:val="000000"/>
          <w:szCs w:val="20"/>
          <w:lang w:val="en"/>
        </w:rPr>
        <w:t xml:space="preserve"> </w:t>
      </w:r>
      <w:r w:rsidRPr="00E4452F">
        <w:rPr>
          <w:color w:val="000000"/>
          <w:szCs w:val="20"/>
          <w:lang w:val="en"/>
        </w:rPr>
        <w:t>Records of guest participation and rewards redemption.</w:t>
      </w:r>
      <w:r>
        <w:rPr>
          <w:color w:val="000000"/>
          <w:szCs w:val="20"/>
          <w:lang w:val="en"/>
        </w:rPr>
        <w:t xml:space="preserve"> </w:t>
      </w:r>
      <w:r w:rsidRPr="00E4452F">
        <w:rPr>
          <w:color w:val="000000"/>
          <w:szCs w:val="20"/>
          <w:lang w:val="en"/>
        </w:rPr>
        <w:t>Marketing and communication materials related to the loyalty program.</w:t>
      </w:r>
      <w:r>
        <w:rPr>
          <w:color w:val="000000"/>
          <w:szCs w:val="20"/>
          <w:lang w:val="en"/>
        </w:rPr>
        <w:t xml:space="preserve"> </w:t>
      </w:r>
      <w:r w:rsidRPr="00E4452F">
        <w:rPr>
          <w:color w:val="000000"/>
          <w:szCs w:val="20"/>
          <w:lang w:val="en"/>
        </w:rPr>
        <w:t xml:space="preserve">Document analysis provides additional context and supports the reliability and validity of the qualitative findings (Miles, Huberman, &amp; </w:t>
      </w:r>
      <w:proofErr w:type="spellStart"/>
      <w:r w:rsidRPr="00E4452F">
        <w:rPr>
          <w:color w:val="000000"/>
          <w:szCs w:val="20"/>
          <w:lang w:val="en"/>
        </w:rPr>
        <w:t>Saldaña</w:t>
      </w:r>
      <w:proofErr w:type="spellEnd"/>
      <w:r w:rsidRPr="00E4452F">
        <w:rPr>
          <w:color w:val="000000"/>
          <w:szCs w:val="20"/>
          <w:lang w:val="en"/>
        </w:rPr>
        <w:t>, 2014; Creswell, 2018).</w:t>
      </w:r>
    </w:p>
    <w:p w14:paraId="60B2F58E" w14:textId="77777777" w:rsidR="008310AB" w:rsidRPr="008310AB" w:rsidRDefault="00F96337" w:rsidP="008310AB">
      <w:pPr>
        <w:rPr>
          <w:b/>
          <w:bCs/>
          <w:color w:val="000000"/>
          <w:szCs w:val="20"/>
          <w:lang w:val="en"/>
        </w:rPr>
      </w:pPr>
      <w:r w:rsidRPr="008310AB">
        <w:rPr>
          <w:b/>
          <w:bCs/>
          <w:color w:val="000000"/>
          <w:szCs w:val="20"/>
          <w:lang w:val="en"/>
        </w:rPr>
        <w:t>2.</w:t>
      </w:r>
      <w:r w:rsidR="00E4452F" w:rsidRPr="008310AB">
        <w:rPr>
          <w:b/>
          <w:bCs/>
          <w:color w:val="000000"/>
          <w:szCs w:val="20"/>
          <w:lang w:val="en"/>
        </w:rPr>
        <w:t>4. Data Analysis Techniques</w:t>
      </w:r>
    </w:p>
    <w:p w14:paraId="0150EBAC" w14:textId="77777777" w:rsidR="008310AB" w:rsidRDefault="00F96337" w:rsidP="008310AB">
      <w:pPr>
        <w:rPr>
          <w:color w:val="000000"/>
          <w:szCs w:val="20"/>
          <w:lang w:val="en"/>
        </w:rPr>
      </w:pPr>
      <w:r>
        <w:rPr>
          <w:color w:val="000000"/>
          <w:szCs w:val="20"/>
          <w:lang w:val="en"/>
        </w:rPr>
        <w:t>2.</w:t>
      </w:r>
      <w:r w:rsidR="00E4452F" w:rsidRPr="00E4452F">
        <w:rPr>
          <w:color w:val="000000"/>
          <w:szCs w:val="20"/>
          <w:lang w:val="en"/>
        </w:rPr>
        <w:t>4.1 Thematic Analysis</w:t>
      </w:r>
    </w:p>
    <w:p w14:paraId="436E397B" w14:textId="77777777" w:rsidR="008310AB" w:rsidRDefault="00E4452F" w:rsidP="008310AB">
      <w:pPr>
        <w:rPr>
          <w:color w:val="000000"/>
          <w:szCs w:val="20"/>
          <w:lang w:val="en"/>
        </w:rPr>
      </w:pPr>
      <w:r w:rsidRPr="00E4452F">
        <w:rPr>
          <w:color w:val="000000"/>
          <w:szCs w:val="20"/>
          <w:lang w:val="en"/>
        </w:rPr>
        <w:t>Data are analyzed using thematic analysis, a systematic method for identifying, analyzing, and reporting patterns or themes within qualitative data (Braun &amp; Clarke, 2006, cited in Creswell, 2018). The process follows six stages:</w:t>
      </w:r>
      <w:r>
        <w:rPr>
          <w:color w:val="000000"/>
          <w:szCs w:val="20"/>
          <w:lang w:val="en"/>
        </w:rPr>
        <w:t xml:space="preserve"> </w:t>
      </w:r>
      <w:r w:rsidRPr="00E4452F">
        <w:rPr>
          <w:color w:val="000000"/>
          <w:szCs w:val="20"/>
          <w:lang w:val="en"/>
        </w:rPr>
        <w:t>Familiarization: Reading and re-reading transcripts and field notes to immerse in the data.</w:t>
      </w:r>
      <w:r>
        <w:rPr>
          <w:color w:val="000000"/>
          <w:szCs w:val="20"/>
          <w:lang w:val="en"/>
        </w:rPr>
        <w:t xml:space="preserve"> </w:t>
      </w:r>
      <w:r w:rsidRPr="00E4452F">
        <w:rPr>
          <w:color w:val="000000"/>
          <w:szCs w:val="20"/>
          <w:lang w:val="en"/>
        </w:rPr>
        <w:t>Generating initial codes: Highlighting significant statements, phrases, or experiences relevant to loyalty programs and customer retention.</w:t>
      </w:r>
      <w:r>
        <w:rPr>
          <w:color w:val="000000"/>
          <w:szCs w:val="20"/>
          <w:lang w:val="en"/>
        </w:rPr>
        <w:t xml:space="preserve"> </w:t>
      </w:r>
      <w:r w:rsidRPr="00E4452F">
        <w:rPr>
          <w:color w:val="000000"/>
          <w:szCs w:val="20"/>
          <w:lang w:val="en"/>
        </w:rPr>
        <w:t>Searching for themes: Grouping codes into broader categories representing recurrent patterns.</w:t>
      </w:r>
      <w:r>
        <w:rPr>
          <w:color w:val="000000"/>
          <w:szCs w:val="20"/>
          <w:lang w:val="en"/>
        </w:rPr>
        <w:t xml:space="preserve"> </w:t>
      </w:r>
      <w:r w:rsidRPr="00E4452F">
        <w:rPr>
          <w:color w:val="000000"/>
          <w:szCs w:val="20"/>
          <w:lang w:val="en"/>
        </w:rPr>
        <w:t>Reviewing themes: Refining themes for coherence, consistency, and alignment with research questions.</w:t>
      </w:r>
      <w:r>
        <w:rPr>
          <w:color w:val="000000"/>
          <w:szCs w:val="20"/>
          <w:lang w:val="en"/>
        </w:rPr>
        <w:t xml:space="preserve"> </w:t>
      </w:r>
      <w:r w:rsidRPr="00E4452F">
        <w:rPr>
          <w:color w:val="000000"/>
          <w:szCs w:val="20"/>
          <w:lang w:val="en"/>
        </w:rPr>
        <w:t>Defining and naming themes: Providing clear definitions and labels for each theme.</w:t>
      </w:r>
      <w:r>
        <w:rPr>
          <w:color w:val="000000"/>
          <w:szCs w:val="20"/>
          <w:lang w:val="en"/>
        </w:rPr>
        <w:t xml:space="preserve"> </w:t>
      </w:r>
      <w:r w:rsidRPr="00E4452F">
        <w:rPr>
          <w:color w:val="000000"/>
          <w:szCs w:val="20"/>
          <w:lang w:val="en"/>
        </w:rPr>
        <w:t>Producing the report: Integrating themes with participant quotations, observations, and literature to produce a rich narrative (Miles, Huberman, &amp; Saldaña, 2014; Finlay, 2002).</w:t>
      </w:r>
      <w:r>
        <w:rPr>
          <w:color w:val="000000"/>
          <w:szCs w:val="20"/>
          <w:lang w:val="en"/>
        </w:rPr>
        <w:t xml:space="preserve"> </w:t>
      </w:r>
      <w:r w:rsidRPr="00E4452F">
        <w:rPr>
          <w:color w:val="000000"/>
          <w:szCs w:val="20"/>
          <w:lang w:val="en"/>
        </w:rPr>
        <w:t>Thematic analysis enables the identification of both manifest and latent themes, capturing observable behaviors as well as underlying meanings and motivations (</w:t>
      </w:r>
      <w:proofErr w:type="spellStart"/>
      <w:r w:rsidRPr="00E4452F">
        <w:rPr>
          <w:color w:val="000000"/>
          <w:szCs w:val="20"/>
          <w:lang w:val="en"/>
        </w:rPr>
        <w:t>Hapsari</w:t>
      </w:r>
      <w:proofErr w:type="spellEnd"/>
      <w:r w:rsidRPr="00E4452F">
        <w:rPr>
          <w:color w:val="000000"/>
          <w:szCs w:val="20"/>
          <w:lang w:val="en"/>
        </w:rPr>
        <w:t xml:space="preserve">, Wibowo, &amp; </w:t>
      </w:r>
      <w:proofErr w:type="spellStart"/>
      <w:r w:rsidRPr="00E4452F">
        <w:rPr>
          <w:color w:val="000000"/>
          <w:szCs w:val="20"/>
          <w:lang w:val="en"/>
        </w:rPr>
        <w:t>Pranata</w:t>
      </w:r>
      <w:proofErr w:type="spellEnd"/>
      <w:r w:rsidRPr="00E4452F">
        <w:rPr>
          <w:color w:val="000000"/>
          <w:szCs w:val="20"/>
          <w:lang w:val="en"/>
        </w:rPr>
        <w:t>, 2022; Oliver, 2010).</w:t>
      </w:r>
    </w:p>
    <w:p w14:paraId="07882888" w14:textId="77777777" w:rsidR="008310AB" w:rsidRDefault="00F96337" w:rsidP="008310AB">
      <w:pPr>
        <w:rPr>
          <w:color w:val="000000"/>
          <w:szCs w:val="20"/>
          <w:lang w:val="en"/>
        </w:rPr>
      </w:pPr>
      <w:r>
        <w:rPr>
          <w:color w:val="000000"/>
          <w:szCs w:val="20"/>
          <w:lang w:val="en"/>
        </w:rPr>
        <w:t>2.</w:t>
      </w:r>
      <w:r w:rsidR="00E4452F" w:rsidRPr="00E4452F">
        <w:rPr>
          <w:color w:val="000000"/>
          <w:szCs w:val="20"/>
          <w:lang w:val="en"/>
        </w:rPr>
        <w:t>4.2 NVivo Software</w:t>
      </w:r>
    </w:p>
    <w:p w14:paraId="07493D54" w14:textId="7520D494" w:rsidR="00E4452F" w:rsidRPr="008310AB" w:rsidRDefault="00E4452F" w:rsidP="008310AB">
      <w:pPr>
        <w:rPr>
          <w:color w:val="000000"/>
          <w:szCs w:val="20"/>
          <w:lang w:val="en"/>
        </w:rPr>
      </w:pPr>
      <w:r w:rsidRPr="00E4452F">
        <w:rPr>
          <w:color w:val="000000"/>
          <w:szCs w:val="20"/>
          <w:lang w:val="en"/>
        </w:rPr>
        <w:t>NVivo 12 is employed to facilitate data organization, coding, and thematic exploration (Bazeley &amp; Jackson, 2013, cited in Creswell, 2018). NVivo allows:</w:t>
      </w:r>
      <w:r>
        <w:rPr>
          <w:color w:val="000000"/>
          <w:szCs w:val="20"/>
          <w:lang w:val="en"/>
        </w:rPr>
        <w:t xml:space="preserve"> </w:t>
      </w:r>
      <w:r w:rsidRPr="00E4452F">
        <w:rPr>
          <w:color w:val="000000"/>
          <w:szCs w:val="20"/>
          <w:lang w:val="en"/>
        </w:rPr>
        <w:t>Efficient management of large volumes of interview transcripts, field notes, and documents.</w:t>
      </w:r>
      <w:r>
        <w:rPr>
          <w:color w:val="000000"/>
          <w:szCs w:val="20"/>
          <w:lang w:val="en"/>
        </w:rPr>
        <w:t xml:space="preserve"> </w:t>
      </w:r>
      <w:r w:rsidRPr="00E4452F">
        <w:rPr>
          <w:color w:val="000000"/>
          <w:szCs w:val="20"/>
          <w:lang w:val="en"/>
        </w:rPr>
        <w:t>Systematic coding and categorization of textual data.</w:t>
      </w:r>
      <w:r>
        <w:rPr>
          <w:color w:val="000000"/>
          <w:szCs w:val="20"/>
          <w:lang w:val="en"/>
        </w:rPr>
        <w:t xml:space="preserve"> </w:t>
      </w:r>
      <w:r w:rsidRPr="00E4452F">
        <w:rPr>
          <w:color w:val="000000"/>
          <w:szCs w:val="20"/>
          <w:lang w:val="en"/>
        </w:rPr>
        <w:t>Visualization of relationships between themes, subthemes, and participant characteristics.</w:t>
      </w:r>
      <w:r>
        <w:rPr>
          <w:color w:val="000000"/>
          <w:szCs w:val="20"/>
          <w:lang w:val="en"/>
        </w:rPr>
        <w:t xml:space="preserve"> </w:t>
      </w:r>
      <w:r w:rsidRPr="00E4452F">
        <w:rPr>
          <w:color w:val="000000"/>
          <w:szCs w:val="20"/>
          <w:lang w:val="en"/>
        </w:rPr>
        <w:t>Identification of co-occurring patterns and frequency of specific codes across participants.</w:t>
      </w:r>
      <w:r>
        <w:rPr>
          <w:color w:val="000000"/>
          <w:szCs w:val="20"/>
          <w:lang w:val="en"/>
        </w:rPr>
        <w:t xml:space="preserve"> </w:t>
      </w:r>
      <w:r w:rsidRPr="00E4452F">
        <w:rPr>
          <w:color w:val="000000"/>
          <w:szCs w:val="20"/>
          <w:lang w:val="en"/>
        </w:rPr>
        <w:t>Using NVivo enhances the rigor, transparency, and replicability of qualitative analysis, providing an audit trail for coding decisions and theme development (Lincoln &amp; Guba, 1985; Miles, Huberman, &amp; Saldaña, 2014).</w:t>
      </w:r>
    </w:p>
    <w:p w14:paraId="03015D98" w14:textId="2EE2BBE7" w:rsidR="00E4452F" w:rsidRPr="008310AB" w:rsidRDefault="00F96337" w:rsidP="008310AB">
      <w:pPr>
        <w:pStyle w:val="Heading2"/>
        <w:spacing w:before="0"/>
        <w:rPr>
          <w:rFonts w:eastAsia="Calibri"/>
          <w:b/>
          <w:i w:val="0"/>
          <w:color w:val="000000"/>
          <w:szCs w:val="20"/>
          <w:lang w:val="en"/>
        </w:rPr>
      </w:pPr>
      <w:r w:rsidRPr="008310AB">
        <w:rPr>
          <w:rFonts w:eastAsia="Calibri"/>
          <w:b/>
          <w:i w:val="0"/>
          <w:color w:val="000000"/>
          <w:szCs w:val="20"/>
          <w:lang w:val="en"/>
        </w:rPr>
        <w:lastRenderedPageBreak/>
        <w:t>2.</w:t>
      </w:r>
      <w:r w:rsidR="00E4452F" w:rsidRPr="008310AB">
        <w:rPr>
          <w:rFonts w:eastAsia="Calibri"/>
          <w:b/>
          <w:i w:val="0"/>
          <w:color w:val="000000"/>
          <w:szCs w:val="20"/>
          <w:lang w:val="en"/>
        </w:rPr>
        <w:t>5. Trustworthiness and Validity</w:t>
      </w:r>
    </w:p>
    <w:p w14:paraId="497D8DD3" w14:textId="361DADDA" w:rsidR="00E4452F" w:rsidRPr="00E4452F" w:rsidRDefault="00E4452F" w:rsidP="008310AB">
      <w:pPr>
        <w:pStyle w:val="Heading2"/>
        <w:spacing w:before="0"/>
        <w:rPr>
          <w:rFonts w:eastAsia="Calibri"/>
          <w:bCs w:val="0"/>
          <w:i w:val="0"/>
          <w:color w:val="000000"/>
          <w:szCs w:val="20"/>
          <w:lang w:val="en"/>
        </w:rPr>
      </w:pPr>
      <w:r w:rsidRPr="00E4452F">
        <w:rPr>
          <w:rFonts w:eastAsia="Calibri"/>
          <w:bCs w:val="0"/>
          <w:i w:val="0"/>
          <w:color w:val="000000"/>
          <w:szCs w:val="20"/>
          <w:lang w:val="en"/>
        </w:rPr>
        <w:t>To ensure trustworthiness, the study employs Lincoln and Guba’s (1985) criteria:</w:t>
      </w:r>
      <w:r>
        <w:rPr>
          <w:rFonts w:eastAsia="Calibri"/>
          <w:bCs w:val="0"/>
          <w:i w:val="0"/>
          <w:color w:val="000000"/>
          <w:szCs w:val="20"/>
          <w:lang w:val="en"/>
        </w:rPr>
        <w:t xml:space="preserve"> </w:t>
      </w:r>
      <w:r w:rsidRPr="00E4452F">
        <w:rPr>
          <w:rFonts w:eastAsia="Calibri"/>
          <w:bCs w:val="0"/>
          <w:i w:val="0"/>
          <w:color w:val="000000"/>
          <w:szCs w:val="20"/>
          <w:lang w:val="en"/>
        </w:rPr>
        <w:t>Credibility: Triangulation of data sources (interviews, observations, documents) and member checking with participants to confirm accuracy of interpretations.</w:t>
      </w:r>
      <w:r>
        <w:rPr>
          <w:rFonts w:eastAsia="Calibri"/>
          <w:bCs w:val="0"/>
          <w:i w:val="0"/>
          <w:color w:val="000000"/>
          <w:szCs w:val="20"/>
          <w:lang w:val="en"/>
        </w:rPr>
        <w:t xml:space="preserve"> </w:t>
      </w:r>
      <w:r w:rsidRPr="00E4452F">
        <w:rPr>
          <w:rFonts w:eastAsia="Calibri"/>
          <w:bCs w:val="0"/>
          <w:i w:val="0"/>
          <w:color w:val="000000"/>
          <w:szCs w:val="20"/>
          <w:lang w:val="en"/>
        </w:rPr>
        <w:t>Transferability: Providing thick descriptions of the context, participants, and program design to allow readers to assess applicability to similar settings</w:t>
      </w:r>
      <w:r>
        <w:rPr>
          <w:rFonts w:eastAsia="Calibri"/>
          <w:bCs w:val="0"/>
          <w:i w:val="0"/>
          <w:color w:val="000000"/>
          <w:szCs w:val="20"/>
          <w:lang w:val="en"/>
        </w:rPr>
        <w:t xml:space="preserve">. </w:t>
      </w:r>
      <w:r w:rsidRPr="00E4452F">
        <w:rPr>
          <w:rFonts w:eastAsia="Calibri"/>
          <w:bCs w:val="0"/>
          <w:i w:val="0"/>
          <w:color w:val="000000"/>
          <w:szCs w:val="20"/>
          <w:lang w:val="en"/>
        </w:rPr>
        <w:t>Dependability: Maintaining detailed records of research procedures, coding decisions, and analytical processes.</w:t>
      </w:r>
      <w:r>
        <w:rPr>
          <w:rFonts w:eastAsia="Calibri"/>
          <w:bCs w:val="0"/>
          <w:i w:val="0"/>
          <w:color w:val="000000"/>
          <w:szCs w:val="20"/>
          <w:lang w:val="en"/>
        </w:rPr>
        <w:t xml:space="preserve"> </w:t>
      </w:r>
      <w:r w:rsidRPr="00E4452F">
        <w:rPr>
          <w:rFonts w:eastAsia="Calibri"/>
          <w:bCs w:val="0"/>
          <w:i w:val="0"/>
          <w:color w:val="000000"/>
          <w:szCs w:val="20"/>
          <w:lang w:val="en"/>
        </w:rPr>
        <w:t>Confirmability: Reflexive practices, including acknowledgment of researcher biases, and audit trails supported by NVivo outputs (Finlay, 2002; Lincoln &amp; Guba, 2020).</w:t>
      </w:r>
    </w:p>
    <w:p w14:paraId="2DC6894C" w14:textId="3D2E85AB" w:rsidR="00E4452F" w:rsidRPr="008310AB" w:rsidRDefault="00F96337" w:rsidP="008310AB">
      <w:pPr>
        <w:pStyle w:val="Heading2"/>
        <w:spacing w:before="0"/>
        <w:rPr>
          <w:rFonts w:eastAsia="Calibri"/>
          <w:b/>
          <w:i w:val="0"/>
          <w:color w:val="000000"/>
          <w:szCs w:val="20"/>
          <w:lang w:val="en"/>
        </w:rPr>
      </w:pPr>
      <w:r w:rsidRPr="008310AB">
        <w:rPr>
          <w:rFonts w:eastAsia="Calibri"/>
          <w:b/>
          <w:i w:val="0"/>
          <w:color w:val="000000"/>
          <w:szCs w:val="20"/>
          <w:lang w:val="en"/>
        </w:rPr>
        <w:t>2.</w:t>
      </w:r>
      <w:r w:rsidR="00E4452F" w:rsidRPr="008310AB">
        <w:rPr>
          <w:rFonts w:eastAsia="Calibri"/>
          <w:b/>
          <w:i w:val="0"/>
          <w:color w:val="000000"/>
          <w:szCs w:val="20"/>
          <w:lang w:val="en"/>
        </w:rPr>
        <w:t>6. Ethical Considerations</w:t>
      </w:r>
    </w:p>
    <w:p w14:paraId="2F27E2A4" w14:textId="1DD66D3D" w:rsidR="00E4452F" w:rsidRPr="00E4452F" w:rsidRDefault="00E4452F" w:rsidP="008310AB">
      <w:pPr>
        <w:pStyle w:val="Heading2"/>
        <w:spacing w:before="0"/>
        <w:rPr>
          <w:rFonts w:eastAsia="Calibri"/>
          <w:bCs w:val="0"/>
          <w:i w:val="0"/>
          <w:color w:val="000000"/>
          <w:szCs w:val="20"/>
          <w:lang w:val="en"/>
        </w:rPr>
      </w:pPr>
      <w:r w:rsidRPr="00E4452F">
        <w:rPr>
          <w:rFonts w:eastAsia="Calibri"/>
          <w:bCs w:val="0"/>
          <w:i w:val="0"/>
          <w:color w:val="000000"/>
          <w:szCs w:val="20"/>
          <w:lang w:val="en"/>
        </w:rPr>
        <w:t>Ethical standards are strictly followed throughout the research (Creswell, 2018; Kvale, 1996):</w:t>
      </w:r>
      <w:r>
        <w:rPr>
          <w:rFonts w:eastAsia="Calibri"/>
          <w:bCs w:val="0"/>
          <w:i w:val="0"/>
          <w:color w:val="000000"/>
          <w:szCs w:val="20"/>
          <w:lang w:val="en"/>
        </w:rPr>
        <w:t xml:space="preserve"> </w:t>
      </w:r>
      <w:r w:rsidRPr="00E4452F">
        <w:rPr>
          <w:rFonts w:eastAsia="Calibri"/>
          <w:bCs w:val="0"/>
          <w:i w:val="0"/>
          <w:color w:val="000000"/>
          <w:szCs w:val="20"/>
          <w:lang w:val="en"/>
        </w:rPr>
        <w:t>Informed consent is obtained from all participants.</w:t>
      </w:r>
      <w:r>
        <w:rPr>
          <w:rFonts w:eastAsia="Calibri"/>
          <w:bCs w:val="0"/>
          <w:i w:val="0"/>
          <w:color w:val="000000"/>
          <w:szCs w:val="20"/>
          <w:lang w:val="en"/>
        </w:rPr>
        <w:t xml:space="preserve"> </w:t>
      </w:r>
      <w:r w:rsidRPr="00E4452F">
        <w:rPr>
          <w:rFonts w:eastAsia="Calibri"/>
          <w:bCs w:val="0"/>
          <w:i w:val="0"/>
          <w:color w:val="000000"/>
          <w:szCs w:val="20"/>
          <w:lang w:val="en"/>
        </w:rPr>
        <w:t>Confidentiality and anonymity are maintained by using pseudonyms and secure data storage.</w:t>
      </w:r>
      <w:r>
        <w:rPr>
          <w:rFonts w:eastAsia="Calibri"/>
          <w:bCs w:val="0"/>
          <w:i w:val="0"/>
          <w:color w:val="000000"/>
          <w:szCs w:val="20"/>
          <w:lang w:val="en"/>
        </w:rPr>
        <w:t xml:space="preserve"> </w:t>
      </w:r>
      <w:r w:rsidRPr="00E4452F">
        <w:rPr>
          <w:rFonts w:eastAsia="Calibri"/>
          <w:bCs w:val="0"/>
          <w:i w:val="0"/>
          <w:color w:val="000000"/>
          <w:szCs w:val="20"/>
          <w:lang w:val="en"/>
        </w:rPr>
        <w:t>Participants are free to withdraw at any stage without penalty.</w:t>
      </w:r>
      <w:r>
        <w:rPr>
          <w:rFonts w:eastAsia="Calibri"/>
          <w:bCs w:val="0"/>
          <w:i w:val="0"/>
          <w:color w:val="000000"/>
          <w:szCs w:val="20"/>
          <w:lang w:val="en"/>
        </w:rPr>
        <w:t xml:space="preserve"> </w:t>
      </w:r>
      <w:r w:rsidRPr="00E4452F">
        <w:rPr>
          <w:rFonts w:eastAsia="Calibri"/>
          <w:bCs w:val="0"/>
          <w:i w:val="0"/>
          <w:color w:val="000000"/>
          <w:szCs w:val="20"/>
          <w:lang w:val="en"/>
        </w:rPr>
        <w:t>Findings are reported honestly, without fabrication or misrepresentation.</w:t>
      </w:r>
    </w:p>
    <w:p w14:paraId="282E8A91" w14:textId="4929E470" w:rsidR="00E4452F" w:rsidRPr="008310AB" w:rsidRDefault="00F96337" w:rsidP="008310AB">
      <w:pPr>
        <w:pStyle w:val="Heading2"/>
        <w:spacing w:before="0"/>
        <w:rPr>
          <w:rFonts w:eastAsia="Calibri"/>
          <w:b/>
          <w:i w:val="0"/>
          <w:color w:val="000000"/>
          <w:szCs w:val="20"/>
          <w:lang w:val="en"/>
        </w:rPr>
      </w:pPr>
      <w:r w:rsidRPr="008310AB">
        <w:rPr>
          <w:rFonts w:eastAsia="Calibri"/>
          <w:b/>
          <w:i w:val="0"/>
          <w:color w:val="000000"/>
          <w:szCs w:val="20"/>
          <w:lang w:val="en"/>
        </w:rPr>
        <w:t>2.</w:t>
      </w:r>
      <w:r w:rsidR="00E4452F" w:rsidRPr="008310AB">
        <w:rPr>
          <w:rFonts w:eastAsia="Calibri"/>
          <w:b/>
          <w:i w:val="0"/>
          <w:color w:val="000000"/>
          <w:szCs w:val="20"/>
          <w:lang w:val="en"/>
        </w:rPr>
        <w:t>7. Integration with Literature</w:t>
      </w:r>
    </w:p>
    <w:p w14:paraId="233E5695" w14:textId="770F8B9C" w:rsidR="00944133" w:rsidRPr="00CA2057" w:rsidRDefault="00E4452F" w:rsidP="008310AB">
      <w:pPr>
        <w:pStyle w:val="Heading2"/>
        <w:spacing w:before="0"/>
        <w:rPr>
          <w:color w:val="000000"/>
          <w:szCs w:val="20"/>
        </w:rPr>
      </w:pPr>
      <w:r w:rsidRPr="00E4452F">
        <w:rPr>
          <w:rFonts w:eastAsia="Calibri"/>
          <w:bCs w:val="0"/>
          <w:i w:val="0"/>
          <w:color w:val="000000"/>
          <w:szCs w:val="20"/>
          <w:lang w:val="en"/>
        </w:rPr>
        <w:t xml:space="preserve">The methodological approach aligns with prior research on loyalty programs, service quality, and customer retention in hospitality and education contexts (Griffin, 2005; Wijaya, 2005; Raman et al., 2022). By combining qualitative interviews, observations, and document analysis, the study captures relational, emotional, and cultural dimensions often overlooked in quantitative studies (Abdullah &amp; </w:t>
      </w:r>
      <w:proofErr w:type="spellStart"/>
      <w:r w:rsidRPr="00E4452F">
        <w:rPr>
          <w:rFonts w:eastAsia="Calibri"/>
          <w:bCs w:val="0"/>
          <w:i w:val="0"/>
          <w:color w:val="000000"/>
          <w:szCs w:val="20"/>
          <w:lang w:val="en"/>
        </w:rPr>
        <w:t>Toyib</w:t>
      </w:r>
      <w:proofErr w:type="spellEnd"/>
      <w:r w:rsidRPr="00E4452F">
        <w:rPr>
          <w:rFonts w:eastAsia="Calibri"/>
          <w:bCs w:val="0"/>
          <w:i w:val="0"/>
          <w:color w:val="000000"/>
          <w:szCs w:val="20"/>
          <w:lang w:val="en"/>
        </w:rPr>
        <w:t xml:space="preserve">, 2018; </w:t>
      </w:r>
      <w:proofErr w:type="spellStart"/>
      <w:r w:rsidRPr="00E4452F">
        <w:rPr>
          <w:rFonts w:eastAsia="Calibri"/>
          <w:bCs w:val="0"/>
          <w:i w:val="0"/>
          <w:color w:val="000000"/>
          <w:szCs w:val="20"/>
          <w:lang w:val="en"/>
        </w:rPr>
        <w:t>Febrianto</w:t>
      </w:r>
      <w:proofErr w:type="spellEnd"/>
      <w:r w:rsidRPr="00E4452F">
        <w:rPr>
          <w:rFonts w:eastAsia="Calibri"/>
          <w:bCs w:val="0"/>
          <w:i w:val="0"/>
          <w:color w:val="000000"/>
          <w:szCs w:val="20"/>
          <w:lang w:val="en"/>
        </w:rPr>
        <w:t xml:space="preserve"> &amp; Damayanti, 2021; </w:t>
      </w:r>
      <w:proofErr w:type="spellStart"/>
      <w:r w:rsidRPr="00E4452F">
        <w:rPr>
          <w:rFonts w:eastAsia="Calibri"/>
          <w:bCs w:val="0"/>
          <w:i w:val="0"/>
          <w:color w:val="000000"/>
          <w:szCs w:val="20"/>
          <w:lang w:val="en"/>
        </w:rPr>
        <w:t>Joviando</w:t>
      </w:r>
      <w:proofErr w:type="spellEnd"/>
      <w:r w:rsidRPr="00E4452F">
        <w:rPr>
          <w:rFonts w:eastAsia="Calibri"/>
          <w:bCs w:val="0"/>
          <w:i w:val="0"/>
          <w:color w:val="000000"/>
          <w:szCs w:val="20"/>
          <w:lang w:val="en"/>
        </w:rPr>
        <w:t xml:space="preserve"> &amp; </w:t>
      </w:r>
      <w:proofErr w:type="spellStart"/>
      <w:r w:rsidRPr="00E4452F">
        <w:rPr>
          <w:rFonts w:eastAsia="Calibri"/>
          <w:bCs w:val="0"/>
          <w:i w:val="0"/>
          <w:color w:val="000000"/>
          <w:szCs w:val="20"/>
          <w:lang w:val="en"/>
        </w:rPr>
        <w:t>Kurniawati</w:t>
      </w:r>
      <w:proofErr w:type="spellEnd"/>
      <w:r w:rsidRPr="00E4452F">
        <w:rPr>
          <w:rFonts w:eastAsia="Calibri"/>
          <w:bCs w:val="0"/>
          <w:i w:val="0"/>
          <w:color w:val="000000"/>
          <w:szCs w:val="20"/>
          <w:lang w:val="en"/>
        </w:rPr>
        <w:t>, 2022).</w:t>
      </w:r>
      <w:r>
        <w:rPr>
          <w:rFonts w:eastAsia="Calibri"/>
          <w:bCs w:val="0"/>
          <w:i w:val="0"/>
          <w:color w:val="000000"/>
          <w:szCs w:val="20"/>
          <w:lang w:val="en"/>
        </w:rPr>
        <w:t xml:space="preserve"> </w:t>
      </w:r>
      <w:r w:rsidRPr="00E4452F">
        <w:rPr>
          <w:rFonts w:eastAsia="Calibri"/>
          <w:bCs w:val="0"/>
          <w:i w:val="0"/>
          <w:color w:val="000000"/>
          <w:szCs w:val="20"/>
          <w:lang w:val="en"/>
        </w:rPr>
        <w:t>The use of NVivo-supported thematic analysis further strengthens the analytical rigor, enabling systematic identification of patterns and themes that connect customer experiences with loyalty outcomes. This methodological combination ensures a comprehensive understanding of the mechanisms through which loyalty programs influence retention, particularly within a Sharia-compliant guest house context.</w:t>
      </w:r>
      <w:r>
        <w:rPr>
          <w:rFonts w:eastAsia="Calibri"/>
          <w:bCs w:val="0"/>
          <w:i w:val="0"/>
          <w:color w:val="000000"/>
          <w:szCs w:val="20"/>
          <w:lang w:val="en"/>
        </w:rPr>
        <w:t xml:space="preserve"> </w:t>
      </w:r>
      <w:r w:rsidRPr="00E4452F">
        <w:rPr>
          <w:rFonts w:eastAsia="Calibri"/>
          <w:bCs w:val="0"/>
          <w:i w:val="0"/>
          <w:color w:val="000000"/>
          <w:szCs w:val="20"/>
          <w:lang w:val="en"/>
        </w:rPr>
        <w:t xml:space="preserve">This research employs a qualitative, constructivist design to explore how loyalty programs affect customer retention at Rumah Jawa Syariah Guest House. Through semi-structured interviews, non-participant observations, and document analysis, the study collects rich, context-specific data. Thematic analysis, supported by NVivo software, allows systematic coding, theme development, and in-depth interpretation of guest experiences. The methodological rigor is enhanced by trustworthiness criteria, ethical adherence, and triangulation. This approach ensures that the study captures both the observable and nuanced dimensions of loyalty, contributing to academic theory and providing practical insights for culturally grounded, ethically driven hospitality management. </w:t>
      </w:r>
      <w:bookmarkStart w:id="2" w:name="_Hlk67818453"/>
    </w:p>
    <w:bookmarkEnd w:id="2"/>
    <w:p w14:paraId="790807A6" w14:textId="448543B5" w:rsidR="00DF0BEE" w:rsidRPr="008310AB" w:rsidRDefault="000279C2" w:rsidP="008310AB">
      <w:pPr>
        <w:pStyle w:val="ListParagraph"/>
        <w:numPr>
          <w:ilvl w:val="0"/>
          <w:numId w:val="10"/>
        </w:numPr>
        <w:spacing w:before="240"/>
        <w:ind w:left="284" w:hanging="284"/>
        <w:rPr>
          <w:b/>
          <w:bCs/>
          <w:lang w:val="en"/>
        </w:rPr>
      </w:pPr>
      <w:r w:rsidRPr="008310AB">
        <w:rPr>
          <w:b/>
          <w:bCs/>
          <w:lang w:val="en"/>
        </w:rPr>
        <w:t>Results and Discussions</w:t>
      </w:r>
    </w:p>
    <w:p w14:paraId="6E5B7B1D" w14:textId="4164CC06" w:rsidR="00615661" w:rsidRPr="00615661" w:rsidRDefault="00615661" w:rsidP="008310AB">
      <w:pPr>
        <w:rPr>
          <w:color w:val="000000"/>
        </w:rPr>
      </w:pPr>
      <w:bookmarkStart w:id="3" w:name="_Hlk67818599"/>
      <w:r w:rsidRPr="00615661">
        <w:rPr>
          <w:color w:val="000000"/>
        </w:rPr>
        <w:t>The qualitative inquiry conducted at Rumah Jawa Syariah Guest House generated a rich set of insights into how loyalty programs, service quality, and emotional connections shape customer retention within a small-scale hospitality setting. Analysis was conducted using NVivo 14, with codes developed inductively during multiple rounds of open and axial coding. Three major themes emerged from the data: (1) the lived experience of service quality, (2) loyalty beyond rewards, and (3) the function and limitations of the existing loyalty program. These results are presented alongside an integrative discussion based on established frameworks such as SERVQUAL, customer relationship management (CRM), and contemporary loyalty theory.</w:t>
      </w:r>
    </w:p>
    <w:p w14:paraId="78C10879" w14:textId="10055386" w:rsidR="00615661" w:rsidRPr="008310AB" w:rsidRDefault="00615661" w:rsidP="008310AB">
      <w:pPr>
        <w:rPr>
          <w:b/>
          <w:bCs/>
          <w:color w:val="000000"/>
        </w:rPr>
      </w:pPr>
      <w:r w:rsidRPr="008310AB">
        <w:rPr>
          <w:b/>
          <w:bCs/>
          <w:color w:val="000000"/>
        </w:rPr>
        <w:t>Theme 1 Service Quality as a Foundation for Retention</w:t>
      </w:r>
    </w:p>
    <w:p w14:paraId="6097A530" w14:textId="64C13E27" w:rsidR="00615661" w:rsidRPr="00615661" w:rsidRDefault="00615661" w:rsidP="008310AB">
      <w:pPr>
        <w:rPr>
          <w:color w:val="000000"/>
        </w:rPr>
      </w:pPr>
      <w:r w:rsidRPr="00615661">
        <w:rPr>
          <w:color w:val="000000"/>
        </w:rPr>
        <w:t>Across participants, it became clear that service quality</w:t>
      </w:r>
      <w:r w:rsidR="00A02294">
        <w:rPr>
          <w:color w:val="000000"/>
        </w:rPr>
        <w:t xml:space="preserve"> </w:t>
      </w:r>
      <w:r w:rsidRPr="00615661">
        <w:rPr>
          <w:color w:val="000000"/>
        </w:rPr>
        <w:t>not the loyalty program alone</w:t>
      </w:r>
      <w:r w:rsidR="00A02294">
        <w:rPr>
          <w:color w:val="000000"/>
        </w:rPr>
        <w:t xml:space="preserve"> </w:t>
      </w:r>
      <w:r w:rsidRPr="00615661">
        <w:rPr>
          <w:color w:val="000000"/>
        </w:rPr>
        <w:t>played the dominant role in maintaining repeat visits. When interview transcripts were coded in NVivo, the node for service consistency</w:t>
      </w:r>
      <w:r w:rsidR="00A02294">
        <w:rPr>
          <w:color w:val="000000"/>
        </w:rPr>
        <w:t xml:space="preserve"> </w:t>
      </w:r>
      <w:r w:rsidRPr="00615661">
        <w:rPr>
          <w:color w:val="000000"/>
        </w:rPr>
        <w:t>appeared in nearly every participant's file, suggesting that reliability stood at the heart of their experience.</w:t>
      </w:r>
    </w:p>
    <w:p w14:paraId="52A398CD" w14:textId="2434F234" w:rsidR="00615661" w:rsidRPr="008310AB" w:rsidRDefault="00615661" w:rsidP="008310AB">
      <w:pPr>
        <w:rPr>
          <w:b/>
          <w:bCs/>
          <w:color w:val="000000"/>
        </w:rPr>
      </w:pPr>
      <w:r w:rsidRPr="008310AB">
        <w:rPr>
          <w:b/>
          <w:bCs/>
          <w:color w:val="000000"/>
        </w:rPr>
        <w:t>1.1 Reliability and Consistency as Anchors of Trust</w:t>
      </w:r>
    </w:p>
    <w:p w14:paraId="020F9E94" w14:textId="1E3C715C" w:rsidR="00615661" w:rsidRPr="00615661" w:rsidRDefault="00615661" w:rsidP="008310AB">
      <w:pPr>
        <w:rPr>
          <w:color w:val="000000"/>
        </w:rPr>
      </w:pPr>
      <w:r w:rsidRPr="00615661">
        <w:rPr>
          <w:color w:val="000000"/>
        </w:rPr>
        <w:t>Participants repeatedly emphasized that their return visits stemmed from confidence in the guest house’s predictable service quality. P03, a consultant in his late twenties who had stayed three times, described this sentiment clearly:</w:t>
      </w:r>
    </w:p>
    <w:p w14:paraId="29172978" w14:textId="0FD5A04E" w:rsidR="00615661" w:rsidRPr="00615661" w:rsidRDefault="00615661" w:rsidP="008310AB">
      <w:pPr>
        <w:rPr>
          <w:color w:val="000000"/>
        </w:rPr>
      </w:pPr>
      <w:r w:rsidRPr="00615661">
        <w:rPr>
          <w:color w:val="000000"/>
        </w:rPr>
        <w:lastRenderedPageBreak/>
        <w:t>P03: “Every stay felt steady. The rooms were clean, the water heater worked, and nothing ever felt out of place. I didn’t have to worry about surprises.”</w:t>
      </w:r>
    </w:p>
    <w:p w14:paraId="7CB3825F" w14:textId="11738790" w:rsidR="00615661" w:rsidRPr="00615661" w:rsidRDefault="00615661" w:rsidP="008310AB">
      <w:pPr>
        <w:rPr>
          <w:color w:val="000000"/>
        </w:rPr>
      </w:pPr>
      <w:r w:rsidRPr="00615661">
        <w:rPr>
          <w:color w:val="000000"/>
        </w:rPr>
        <w:t>Similarly, P07, a teacher who visited five times, said:</w:t>
      </w:r>
    </w:p>
    <w:p w14:paraId="6CC91D42" w14:textId="46B25D9C" w:rsidR="00615661" w:rsidRPr="00615661" w:rsidRDefault="00615661" w:rsidP="008310AB">
      <w:pPr>
        <w:rPr>
          <w:color w:val="000000"/>
        </w:rPr>
      </w:pPr>
      <w:r w:rsidRPr="00615661">
        <w:rPr>
          <w:color w:val="000000"/>
        </w:rPr>
        <w:t>P07: Even when I arrived late at night, everything was prepared. That makes you feel taken care of.</w:t>
      </w:r>
    </w:p>
    <w:p w14:paraId="5FB86D97" w14:textId="6D45D6FD" w:rsidR="00615661" w:rsidRPr="00615661" w:rsidRDefault="00615661" w:rsidP="008310AB">
      <w:pPr>
        <w:rPr>
          <w:color w:val="000000"/>
        </w:rPr>
      </w:pPr>
      <w:r w:rsidRPr="00615661">
        <w:rPr>
          <w:color w:val="000000"/>
        </w:rPr>
        <w:t>This echoes SERVQUAL’s reliability dimension, which positions consistency as a fundamental predictor of perceived quality. In small-scale accommodations where resources are limited, maintaining reliability becomes even more vital. The findings align with Zeithaml et al.’s argument that reliability is often the strongest driver of customer satisfaction because it reduces uncertainty</w:t>
      </w:r>
      <w:r w:rsidR="00A02294">
        <w:rPr>
          <w:color w:val="000000"/>
        </w:rPr>
        <w:t xml:space="preserve"> </w:t>
      </w:r>
      <w:r w:rsidRPr="00615661">
        <w:rPr>
          <w:color w:val="000000"/>
        </w:rPr>
        <w:t>an important factor for repeat guests.</w:t>
      </w:r>
    </w:p>
    <w:p w14:paraId="62B1B431" w14:textId="75C0F8CC" w:rsidR="00615661" w:rsidRPr="008310AB" w:rsidRDefault="00615661" w:rsidP="008310AB">
      <w:pPr>
        <w:rPr>
          <w:b/>
          <w:bCs/>
          <w:color w:val="000000"/>
        </w:rPr>
      </w:pPr>
      <w:r w:rsidRPr="008310AB">
        <w:rPr>
          <w:b/>
          <w:bCs/>
          <w:color w:val="000000"/>
        </w:rPr>
        <w:t>1.2 Assurance and the Human Element of Professionalism</w:t>
      </w:r>
    </w:p>
    <w:p w14:paraId="6D22BB20" w14:textId="65616D03" w:rsidR="00615661" w:rsidRPr="00615661" w:rsidRDefault="00615661" w:rsidP="008310AB">
      <w:pPr>
        <w:rPr>
          <w:color w:val="000000"/>
        </w:rPr>
      </w:pPr>
      <w:r w:rsidRPr="00615661">
        <w:rPr>
          <w:color w:val="000000"/>
        </w:rPr>
        <w:t>The data revealed that assurance, understood as trust in staff competence and integrity, played a significant role in shaping loyalty. Participants said they felt safe and respected, and that these feelings influenced their decision to return.</w:t>
      </w:r>
    </w:p>
    <w:p w14:paraId="6CA93950" w14:textId="6572CDF6" w:rsidR="00615661" w:rsidRPr="00615661" w:rsidRDefault="00615661" w:rsidP="008310AB">
      <w:pPr>
        <w:rPr>
          <w:color w:val="000000"/>
        </w:rPr>
      </w:pPr>
      <w:r w:rsidRPr="00615661">
        <w:rPr>
          <w:color w:val="000000"/>
        </w:rPr>
        <w:t>P01 noted:</w:t>
      </w:r>
    </w:p>
    <w:p w14:paraId="6F35D1D3" w14:textId="314D0DC7" w:rsidR="00615661" w:rsidRPr="00615661" w:rsidRDefault="00615661" w:rsidP="008310AB">
      <w:pPr>
        <w:rPr>
          <w:color w:val="000000"/>
        </w:rPr>
      </w:pPr>
      <w:r w:rsidRPr="00615661">
        <w:rPr>
          <w:color w:val="000000"/>
        </w:rPr>
        <w:t>P01: They explain the house rules gently. It feels respectful, never harsh.</w:t>
      </w:r>
    </w:p>
    <w:p w14:paraId="13FDD28D" w14:textId="3D6D5D84" w:rsidR="00615661" w:rsidRPr="00615661" w:rsidRDefault="00615661" w:rsidP="008310AB">
      <w:pPr>
        <w:rPr>
          <w:color w:val="000000"/>
        </w:rPr>
      </w:pPr>
      <w:r w:rsidRPr="00615661">
        <w:rPr>
          <w:color w:val="000000"/>
        </w:rPr>
        <w:t>From the staff side, P12 explained that building trust was an intentional value:</w:t>
      </w:r>
    </w:p>
    <w:p w14:paraId="3EFB992F" w14:textId="6E78FD01" w:rsidR="00615661" w:rsidRPr="00615661" w:rsidRDefault="00615661" w:rsidP="008310AB">
      <w:pPr>
        <w:rPr>
          <w:color w:val="000000"/>
        </w:rPr>
      </w:pPr>
      <w:r w:rsidRPr="00615661">
        <w:rPr>
          <w:color w:val="000000"/>
        </w:rPr>
        <w:t>P12: We make sure guests know we are dependable. Even simple things like keeping their belongings safe matter a lot.</w:t>
      </w:r>
    </w:p>
    <w:p w14:paraId="3FDE9663" w14:textId="1F379DDA" w:rsidR="00615661" w:rsidRPr="00615661" w:rsidRDefault="00615661" w:rsidP="008310AB">
      <w:pPr>
        <w:rPr>
          <w:color w:val="000000"/>
        </w:rPr>
      </w:pPr>
      <w:r w:rsidRPr="00615661">
        <w:rPr>
          <w:color w:val="000000"/>
        </w:rPr>
        <w:t>This indicates that the emotional dimension of assurance was just as influential as the functional component. In loyalty theory, this emotional element resembles the trust mechanism highlighted in the commitment</w:t>
      </w:r>
      <w:r>
        <w:rPr>
          <w:color w:val="000000"/>
        </w:rPr>
        <w:t xml:space="preserve"> t</w:t>
      </w:r>
      <w:r w:rsidRPr="00615661">
        <w:rPr>
          <w:color w:val="000000"/>
        </w:rPr>
        <w:t>rust model by Morgan and Hunt, which frames trust as essential for long-term relationship maintenance.</w:t>
      </w:r>
    </w:p>
    <w:p w14:paraId="74378F32" w14:textId="11385789" w:rsidR="00615661" w:rsidRPr="008310AB" w:rsidRDefault="00615661" w:rsidP="008310AB">
      <w:pPr>
        <w:rPr>
          <w:b/>
          <w:bCs/>
          <w:color w:val="000000"/>
        </w:rPr>
      </w:pPr>
      <w:r w:rsidRPr="008310AB">
        <w:rPr>
          <w:b/>
          <w:bCs/>
          <w:color w:val="000000"/>
        </w:rPr>
        <w:t>1.3 Tangibles and a Distinctive Cultural Atmosphere</w:t>
      </w:r>
    </w:p>
    <w:p w14:paraId="6FCF47C6" w14:textId="37C50DDB" w:rsidR="00615661" w:rsidRPr="00615661" w:rsidRDefault="00615661" w:rsidP="008310AB">
      <w:pPr>
        <w:rPr>
          <w:color w:val="000000"/>
        </w:rPr>
      </w:pPr>
      <w:r w:rsidRPr="00615661">
        <w:rPr>
          <w:color w:val="000000"/>
        </w:rPr>
        <w:t>The physical setting of the guest house emerged as a powerful experiential factor. The Javanese ambiance node in NVivo stood out across nine interview files. Participants treated the atmosphere not as décor but as part of the emotional value of their stay.</w:t>
      </w:r>
    </w:p>
    <w:p w14:paraId="186C8EBA" w14:textId="6C75F424" w:rsidR="00615661" w:rsidRPr="00615661" w:rsidRDefault="00615661" w:rsidP="008310AB">
      <w:pPr>
        <w:rPr>
          <w:color w:val="000000"/>
        </w:rPr>
      </w:pPr>
      <w:r w:rsidRPr="00615661">
        <w:rPr>
          <w:color w:val="000000"/>
        </w:rPr>
        <w:t>As P06 explained:</w:t>
      </w:r>
    </w:p>
    <w:p w14:paraId="42F47FED" w14:textId="276714DB" w:rsidR="00615661" w:rsidRPr="00615661" w:rsidRDefault="00615661" w:rsidP="008310AB">
      <w:pPr>
        <w:rPr>
          <w:color w:val="000000"/>
        </w:rPr>
      </w:pPr>
      <w:r w:rsidRPr="00615661">
        <w:rPr>
          <w:color w:val="000000"/>
        </w:rPr>
        <w:t>P06: The atmosphere is unmistakably Javanese. It’s calming. You feel it as soon as you enter.</w:t>
      </w:r>
    </w:p>
    <w:p w14:paraId="00A6EDB5" w14:textId="3BFEC2C3" w:rsidR="00615661" w:rsidRPr="00615661" w:rsidRDefault="00615661" w:rsidP="008310AB">
      <w:pPr>
        <w:rPr>
          <w:color w:val="000000"/>
        </w:rPr>
      </w:pPr>
      <w:r w:rsidRPr="00615661">
        <w:rPr>
          <w:color w:val="000000"/>
        </w:rPr>
        <w:t>The presence of sensory consistency</w:t>
      </w:r>
      <w:r>
        <w:rPr>
          <w:color w:val="000000"/>
        </w:rPr>
        <w:t xml:space="preserve"> </w:t>
      </w:r>
      <w:r w:rsidRPr="00615661">
        <w:rPr>
          <w:color w:val="000000"/>
        </w:rPr>
        <w:t>interior aesthetics, wood furniture, gamelan background music, and traditional scents</w:t>
      </w:r>
      <w:r>
        <w:rPr>
          <w:color w:val="000000"/>
        </w:rPr>
        <w:t xml:space="preserve"> </w:t>
      </w:r>
      <w:r w:rsidRPr="00615661">
        <w:rPr>
          <w:color w:val="000000"/>
        </w:rPr>
        <w:t>created what researchers sometimes call a cultural experience layer. This aligns with Schmitt’s experiential marketing theory, where sensory and emotional stimuli heighten loyalty by creating memorable encounters.</w:t>
      </w:r>
    </w:p>
    <w:p w14:paraId="71A10ADE" w14:textId="040C346E" w:rsidR="00615661" w:rsidRPr="008310AB" w:rsidRDefault="00615661" w:rsidP="008310AB">
      <w:pPr>
        <w:rPr>
          <w:b/>
          <w:bCs/>
          <w:color w:val="000000"/>
        </w:rPr>
      </w:pPr>
      <w:r w:rsidRPr="008310AB">
        <w:rPr>
          <w:b/>
          <w:bCs/>
          <w:color w:val="000000"/>
        </w:rPr>
        <w:t>1.4 Responsiveness and Personal Support</w:t>
      </w:r>
    </w:p>
    <w:p w14:paraId="68EBB1CE" w14:textId="6344123C" w:rsidR="00615661" w:rsidRPr="00615661" w:rsidRDefault="00615661" w:rsidP="008310AB">
      <w:pPr>
        <w:rPr>
          <w:color w:val="000000"/>
        </w:rPr>
      </w:pPr>
      <w:r w:rsidRPr="00615661">
        <w:rPr>
          <w:color w:val="000000"/>
        </w:rPr>
        <w:t>Responsiveness appeared frequently in the data, especially in relation to digital communication. Several guests commented on the speed at which staff responded to messages, even during off-hours.</w:t>
      </w:r>
    </w:p>
    <w:p w14:paraId="6A5860E7" w14:textId="457C836E" w:rsidR="00615661" w:rsidRPr="00615661" w:rsidRDefault="00615661" w:rsidP="008310AB">
      <w:pPr>
        <w:rPr>
          <w:color w:val="000000"/>
        </w:rPr>
      </w:pPr>
      <w:r w:rsidRPr="00615661">
        <w:rPr>
          <w:color w:val="000000"/>
        </w:rPr>
        <w:t>P03 mentioned:</w:t>
      </w:r>
    </w:p>
    <w:p w14:paraId="6A37E6E4" w14:textId="3C20E974" w:rsidR="00615661" w:rsidRPr="00615661" w:rsidRDefault="00615661" w:rsidP="008310AB">
      <w:pPr>
        <w:rPr>
          <w:color w:val="000000"/>
        </w:rPr>
      </w:pPr>
      <w:r w:rsidRPr="00615661">
        <w:rPr>
          <w:color w:val="000000"/>
        </w:rPr>
        <w:t>P03: Their WhatsApp replies are fast. That alone makes planning easier.</w:t>
      </w:r>
    </w:p>
    <w:p w14:paraId="3C02CA98" w14:textId="063C198C" w:rsidR="00615661" w:rsidRPr="00615661" w:rsidRDefault="00615661" w:rsidP="008310AB">
      <w:pPr>
        <w:rPr>
          <w:color w:val="000000"/>
        </w:rPr>
      </w:pPr>
      <w:r w:rsidRPr="00615661">
        <w:rPr>
          <w:color w:val="000000"/>
        </w:rPr>
        <w:t>Responsiveness also reflected empathy. For instance, P02 shared that a staff member helped him find medicine during a late-night illness:</w:t>
      </w:r>
    </w:p>
    <w:p w14:paraId="22843BC8" w14:textId="53AC79FE" w:rsidR="00615661" w:rsidRPr="00615661" w:rsidRDefault="00615661" w:rsidP="008310AB">
      <w:pPr>
        <w:rPr>
          <w:color w:val="000000"/>
        </w:rPr>
      </w:pPr>
      <w:r w:rsidRPr="00615661">
        <w:rPr>
          <w:color w:val="000000"/>
        </w:rPr>
        <w:lastRenderedPageBreak/>
        <w:t>P02: “They didn’t just tell me where to buy it</w:t>
      </w:r>
      <w:r>
        <w:rPr>
          <w:color w:val="000000"/>
        </w:rPr>
        <w:t xml:space="preserve"> </w:t>
      </w:r>
      <w:r w:rsidRPr="00615661">
        <w:rPr>
          <w:color w:val="000000"/>
        </w:rPr>
        <w:t>they actually helped get it</w:t>
      </w:r>
      <w:r>
        <w:rPr>
          <w:color w:val="000000"/>
        </w:rPr>
        <w:t>.</w:t>
      </w:r>
    </w:p>
    <w:p w14:paraId="0F4D6413" w14:textId="61640530" w:rsidR="00615661" w:rsidRPr="00615661" w:rsidRDefault="00615661" w:rsidP="008310AB">
      <w:pPr>
        <w:rPr>
          <w:color w:val="000000"/>
        </w:rPr>
      </w:pPr>
      <w:r w:rsidRPr="00615661">
        <w:rPr>
          <w:color w:val="000000"/>
        </w:rPr>
        <w:t>This blurs SERVQUAL’s empathy and responsiveness dimensions, showing how both merge in practice. It also illustrates how human assistance can shape relational loyalty.</w:t>
      </w:r>
    </w:p>
    <w:p w14:paraId="047F141E" w14:textId="5527EBB6" w:rsidR="00615661" w:rsidRPr="00615661" w:rsidRDefault="00615661" w:rsidP="008310AB">
      <w:pPr>
        <w:rPr>
          <w:color w:val="000000"/>
        </w:rPr>
      </w:pPr>
      <w:r w:rsidRPr="00615661">
        <w:rPr>
          <w:color w:val="000000"/>
        </w:rPr>
        <w:t>Discussion of Theme 1</w:t>
      </w:r>
    </w:p>
    <w:p w14:paraId="41F26253" w14:textId="1CBF20F9" w:rsidR="00615661" w:rsidRPr="00615661" w:rsidRDefault="00615661" w:rsidP="008310AB">
      <w:pPr>
        <w:rPr>
          <w:color w:val="000000"/>
        </w:rPr>
      </w:pPr>
      <w:r w:rsidRPr="00615661">
        <w:rPr>
          <w:color w:val="000000"/>
        </w:rPr>
        <w:t>The findings confirm that service quality is the baseline upon which any loyalty program must be built. The guests’ emphasis on consistent care and meaningful interactions suggests that transactional incentives alone would not suffice. Instead, quality service established the trust, comfort, and emotional bonds necessary for loyalty</w:t>
      </w:r>
      <w:r>
        <w:rPr>
          <w:color w:val="000000"/>
        </w:rPr>
        <w:t xml:space="preserve"> </w:t>
      </w:r>
      <w:r w:rsidRPr="00615661">
        <w:rPr>
          <w:color w:val="000000"/>
        </w:rPr>
        <w:t>echoing broad CRM literature, which posits that loyalty grows out of experience rather than promotions.</w:t>
      </w:r>
    </w:p>
    <w:p w14:paraId="0C6B52BE" w14:textId="7A494245" w:rsidR="00615661" w:rsidRPr="008310AB" w:rsidRDefault="00615661" w:rsidP="008310AB">
      <w:pPr>
        <w:rPr>
          <w:b/>
          <w:bCs/>
          <w:color w:val="000000"/>
        </w:rPr>
      </w:pPr>
      <w:r w:rsidRPr="008310AB">
        <w:rPr>
          <w:b/>
          <w:bCs/>
          <w:color w:val="000000"/>
        </w:rPr>
        <w:t>Theme 2 Loyalty Beyond Rewards: Emotional, Habitual, and Normative Commitment</w:t>
      </w:r>
    </w:p>
    <w:p w14:paraId="3E73294B" w14:textId="0DCD906A" w:rsidR="00615661" w:rsidRPr="00615661" w:rsidRDefault="00615661" w:rsidP="008310AB">
      <w:pPr>
        <w:rPr>
          <w:color w:val="000000"/>
        </w:rPr>
      </w:pPr>
      <w:r w:rsidRPr="00615661">
        <w:rPr>
          <w:color w:val="000000"/>
        </w:rPr>
        <w:t>One of the strongest insights from this study is that loyalty exceeded the scope of the formal loyalty program. Many guests returned because of emotional attachment, personal values, routinized comfort, and a sense of being</w:t>
      </w:r>
      <w:r>
        <w:rPr>
          <w:color w:val="000000"/>
        </w:rPr>
        <w:t xml:space="preserve"> </w:t>
      </w:r>
      <w:r w:rsidRPr="00615661">
        <w:rPr>
          <w:color w:val="000000"/>
        </w:rPr>
        <w:t>at home.</w:t>
      </w:r>
    </w:p>
    <w:p w14:paraId="2C381AAA" w14:textId="594FE38C" w:rsidR="00615661" w:rsidRPr="008310AB" w:rsidRDefault="00615661" w:rsidP="008310AB">
      <w:pPr>
        <w:rPr>
          <w:b/>
          <w:bCs/>
          <w:color w:val="000000"/>
        </w:rPr>
      </w:pPr>
      <w:r w:rsidRPr="008310AB">
        <w:rPr>
          <w:b/>
          <w:bCs/>
          <w:color w:val="000000"/>
        </w:rPr>
        <w:t>2.1 Emotional Loyalty Driven by Interpersonal Warmth</w:t>
      </w:r>
    </w:p>
    <w:p w14:paraId="2EE8AF8D" w14:textId="6A29BA25" w:rsidR="00615661" w:rsidRPr="00615661" w:rsidRDefault="00615661" w:rsidP="008310AB">
      <w:pPr>
        <w:rPr>
          <w:color w:val="000000"/>
        </w:rPr>
      </w:pPr>
      <w:r w:rsidRPr="00615661">
        <w:rPr>
          <w:color w:val="000000"/>
        </w:rPr>
        <w:t>Across guest interviews, emotional connection with staff surfaced repeatedly. NVivo coding for emotional bond produced dense clusters of references from eight participants. Guests described feeling welcomed, acknowledged, or part of the family.</w:t>
      </w:r>
    </w:p>
    <w:p w14:paraId="3076CE85" w14:textId="72932B33" w:rsidR="00615661" w:rsidRPr="00615661" w:rsidRDefault="00615661" w:rsidP="008310AB">
      <w:pPr>
        <w:rPr>
          <w:color w:val="000000"/>
        </w:rPr>
      </w:pPr>
      <w:r w:rsidRPr="00615661">
        <w:rPr>
          <w:color w:val="000000"/>
        </w:rPr>
        <w:t>P02 stated:</w:t>
      </w:r>
    </w:p>
    <w:p w14:paraId="4829004A" w14:textId="5F4C74DA" w:rsidR="00615661" w:rsidRPr="00615661" w:rsidRDefault="00615661" w:rsidP="008310AB">
      <w:pPr>
        <w:rPr>
          <w:color w:val="000000"/>
        </w:rPr>
      </w:pPr>
      <w:r w:rsidRPr="00615661">
        <w:rPr>
          <w:color w:val="000000"/>
        </w:rPr>
        <w:t>P02: They treat me like someone they know well. I’m more comfortable here than in hotels that look fancy but feel cold.</w:t>
      </w:r>
    </w:p>
    <w:p w14:paraId="6FC82290" w14:textId="3EA2354E" w:rsidR="00615661" w:rsidRPr="00615661" w:rsidRDefault="00615661" w:rsidP="008310AB">
      <w:pPr>
        <w:rPr>
          <w:color w:val="000000"/>
        </w:rPr>
      </w:pPr>
      <w:r w:rsidRPr="00615661">
        <w:rPr>
          <w:color w:val="000000"/>
        </w:rPr>
        <w:t>Staff also acknowledged this intention. P10 shared:</w:t>
      </w:r>
    </w:p>
    <w:p w14:paraId="7AB45D68" w14:textId="5E78AEC5" w:rsidR="00615661" w:rsidRPr="00615661" w:rsidRDefault="00615661" w:rsidP="008310AB">
      <w:pPr>
        <w:rPr>
          <w:color w:val="000000"/>
        </w:rPr>
      </w:pPr>
      <w:r w:rsidRPr="00615661">
        <w:rPr>
          <w:color w:val="000000"/>
        </w:rPr>
        <w:t>P10: We keep the tone warm, even for new guests. That’s our style.</w:t>
      </w:r>
    </w:p>
    <w:p w14:paraId="136F1886" w14:textId="6FE3BF09" w:rsidR="00615661" w:rsidRPr="00615661" w:rsidRDefault="00615661" w:rsidP="008310AB">
      <w:pPr>
        <w:rPr>
          <w:color w:val="000000"/>
        </w:rPr>
      </w:pPr>
      <w:r w:rsidRPr="00615661">
        <w:rPr>
          <w:color w:val="000000"/>
        </w:rPr>
        <w:t>The emotional facet aligns with loyalty literature suggesting that feelings of connectedness play a significant role in retention, especially in small, personalized hospitality contexts. This supports the distinction in loyalty theory between attitudinal and behavioral loyalty: many guests felt attached even beyond tangible benefits.</w:t>
      </w:r>
    </w:p>
    <w:p w14:paraId="05327276" w14:textId="0F24A3F9" w:rsidR="00615661" w:rsidRPr="008310AB" w:rsidRDefault="00615661" w:rsidP="008310AB">
      <w:pPr>
        <w:rPr>
          <w:b/>
          <w:bCs/>
          <w:color w:val="000000"/>
        </w:rPr>
      </w:pPr>
      <w:r w:rsidRPr="008310AB">
        <w:rPr>
          <w:b/>
          <w:bCs/>
          <w:color w:val="000000"/>
        </w:rPr>
        <w:t>2.2 Habitual Loyalty and the Appeal of Familiarity</w:t>
      </w:r>
    </w:p>
    <w:p w14:paraId="5A130B04" w14:textId="0BB349EC" w:rsidR="00615661" w:rsidRPr="00615661" w:rsidRDefault="00615661" w:rsidP="008310AB">
      <w:pPr>
        <w:rPr>
          <w:color w:val="000000"/>
        </w:rPr>
      </w:pPr>
      <w:r w:rsidRPr="00615661">
        <w:rPr>
          <w:color w:val="000000"/>
        </w:rPr>
        <w:t>For several participants, returning was not a calculated decision. Instead, it felt natural or effortless—an expression of habitual loyalty.</w:t>
      </w:r>
    </w:p>
    <w:p w14:paraId="6E21D642" w14:textId="78279AA1" w:rsidR="00615661" w:rsidRPr="00615661" w:rsidRDefault="00615661" w:rsidP="008310AB">
      <w:pPr>
        <w:rPr>
          <w:color w:val="000000"/>
        </w:rPr>
      </w:pPr>
      <w:r w:rsidRPr="00615661">
        <w:rPr>
          <w:color w:val="000000"/>
        </w:rPr>
        <w:t>P07 explained:</w:t>
      </w:r>
    </w:p>
    <w:p w14:paraId="7131057B" w14:textId="2085431C" w:rsidR="00615661" w:rsidRPr="00615661" w:rsidRDefault="00615661" w:rsidP="008310AB">
      <w:pPr>
        <w:rPr>
          <w:color w:val="000000"/>
        </w:rPr>
      </w:pPr>
      <w:r w:rsidRPr="00615661">
        <w:rPr>
          <w:color w:val="000000"/>
        </w:rPr>
        <w:t>P07: Everything is familiar here. I don’t have to think twice. It’s become my default place.</w:t>
      </w:r>
    </w:p>
    <w:p w14:paraId="66954D41" w14:textId="7153C2E5" w:rsidR="00615661" w:rsidRPr="00615661" w:rsidRDefault="00615661" w:rsidP="008310AB">
      <w:pPr>
        <w:rPr>
          <w:color w:val="000000"/>
        </w:rPr>
      </w:pPr>
      <w:r w:rsidRPr="00615661">
        <w:rPr>
          <w:color w:val="000000"/>
        </w:rPr>
        <w:t>This habitual dimension is particularly notable since loyalty programs traditionally target rational calculations (e.g., points, discounts). Yet here, loyalty stemmed more from a sense of ease and predictability.</w:t>
      </w:r>
    </w:p>
    <w:p w14:paraId="066A9CC9" w14:textId="3568B67D" w:rsidR="00615661" w:rsidRPr="008310AB" w:rsidRDefault="00615661" w:rsidP="008310AB">
      <w:pPr>
        <w:rPr>
          <w:b/>
          <w:bCs/>
          <w:color w:val="000000"/>
        </w:rPr>
      </w:pPr>
      <w:r w:rsidRPr="008310AB">
        <w:rPr>
          <w:b/>
          <w:bCs/>
          <w:color w:val="000000"/>
        </w:rPr>
        <w:t>2.3 Normative Loyalty Linked to Syariah Values</w:t>
      </w:r>
    </w:p>
    <w:p w14:paraId="7A21C421" w14:textId="0D2DB773" w:rsidR="00615661" w:rsidRPr="00615661" w:rsidRDefault="00615661" w:rsidP="008310AB">
      <w:pPr>
        <w:rPr>
          <w:color w:val="000000"/>
        </w:rPr>
      </w:pPr>
      <w:r w:rsidRPr="00615661">
        <w:rPr>
          <w:color w:val="000000"/>
        </w:rPr>
        <w:t>An unexpected theme emerged around the “syariah-compliant environment.” For some participants, this created an additional layer of comfort and security. The NVivo node “religious alignment” appeared in four interviews.</w:t>
      </w:r>
    </w:p>
    <w:p w14:paraId="28BBF78D" w14:textId="2DE368AE" w:rsidR="00615661" w:rsidRPr="00615661" w:rsidRDefault="00615661" w:rsidP="008310AB">
      <w:pPr>
        <w:rPr>
          <w:color w:val="000000"/>
        </w:rPr>
      </w:pPr>
      <w:r w:rsidRPr="00615661">
        <w:rPr>
          <w:color w:val="000000"/>
        </w:rPr>
        <w:t>P04 said:</w:t>
      </w:r>
    </w:p>
    <w:p w14:paraId="06D68C53" w14:textId="1EB9DE0E" w:rsidR="00615661" w:rsidRPr="00615661" w:rsidRDefault="00615661" w:rsidP="008310AB">
      <w:pPr>
        <w:rPr>
          <w:color w:val="000000"/>
        </w:rPr>
      </w:pPr>
      <w:r w:rsidRPr="00615661">
        <w:rPr>
          <w:color w:val="000000"/>
        </w:rPr>
        <w:t>P04: I choose syariah places because they align with my values. I rest better knowing that.</w:t>
      </w:r>
    </w:p>
    <w:p w14:paraId="639C73F0" w14:textId="428D4735" w:rsidR="00615661" w:rsidRPr="00615661" w:rsidRDefault="00615661" w:rsidP="008310AB">
      <w:pPr>
        <w:rPr>
          <w:color w:val="000000"/>
        </w:rPr>
      </w:pPr>
      <w:r w:rsidRPr="00615661">
        <w:rPr>
          <w:color w:val="000000"/>
        </w:rPr>
        <w:lastRenderedPageBreak/>
        <w:t>P08 echoed:</w:t>
      </w:r>
    </w:p>
    <w:p w14:paraId="41BD717D" w14:textId="6802401F" w:rsidR="00615661" w:rsidRPr="00615661" w:rsidRDefault="00615661" w:rsidP="008310AB">
      <w:pPr>
        <w:rPr>
          <w:color w:val="000000"/>
        </w:rPr>
      </w:pPr>
      <w:r w:rsidRPr="00615661">
        <w:rPr>
          <w:color w:val="000000"/>
        </w:rPr>
        <w:t>P08: The rules are clear, but they’re delivered softly. It feels right for me.</w:t>
      </w:r>
    </w:p>
    <w:p w14:paraId="6BDBA552" w14:textId="0C2C8A05" w:rsidR="00615661" w:rsidRPr="00615661" w:rsidRDefault="00615661" w:rsidP="008310AB">
      <w:pPr>
        <w:rPr>
          <w:color w:val="000000"/>
        </w:rPr>
      </w:pPr>
      <w:r w:rsidRPr="00615661">
        <w:rPr>
          <w:color w:val="000000"/>
        </w:rPr>
        <w:t>This represents normative loyalty: customers feel inclined to return because the establishment matches their personal or ethical values. This adds a nuanced layer to retention, particularly in regions with high demand for syariah-compliant hospitality services.</w:t>
      </w:r>
    </w:p>
    <w:p w14:paraId="24FA10FE" w14:textId="23B79226" w:rsidR="00615661" w:rsidRPr="00615661" w:rsidRDefault="00615661" w:rsidP="008310AB">
      <w:pPr>
        <w:rPr>
          <w:color w:val="000000"/>
        </w:rPr>
      </w:pPr>
      <w:r w:rsidRPr="00615661">
        <w:rPr>
          <w:color w:val="000000"/>
        </w:rPr>
        <w:t>Discussion of Theme 2</w:t>
      </w:r>
    </w:p>
    <w:p w14:paraId="1D090F09" w14:textId="35459CAE" w:rsidR="00615661" w:rsidRPr="00615661" w:rsidRDefault="00615661" w:rsidP="008310AB">
      <w:pPr>
        <w:rPr>
          <w:color w:val="000000"/>
        </w:rPr>
      </w:pPr>
      <w:r w:rsidRPr="00615661">
        <w:rPr>
          <w:color w:val="000000"/>
        </w:rPr>
        <w:t>This theme reinforces that loyalty is multidimensional. While loyalty programs contribute, they are not the sole or even primary driver for many guests. Emotional warmth, familiarity, and value alignment surfaced as more influential. This confi</w:t>
      </w:r>
      <w:r>
        <w:rPr>
          <w:color w:val="000000"/>
        </w:rPr>
        <w:t>r</w:t>
      </w:r>
      <w:r w:rsidRPr="00615661">
        <w:rPr>
          <w:color w:val="000000"/>
        </w:rPr>
        <w:t>ms the argument that small hospitality businesses can cultivate loyalty even with modest financial incentives, provided they excel in relational aspects.</w:t>
      </w:r>
    </w:p>
    <w:p w14:paraId="3369667B" w14:textId="741D10C7" w:rsidR="00615661" w:rsidRPr="008310AB" w:rsidRDefault="00615661" w:rsidP="008310AB">
      <w:pPr>
        <w:rPr>
          <w:b/>
          <w:bCs/>
          <w:color w:val="000000"/>
        </w:rPr>
      </w:pPr>
      <w:r w:rsidRPr="008310AB">
        <w:rPr>
          <w:b/>
          <w:bCs/>
          <w:color w:val="000000"/>
        </w:rPr>
        <w:t>Theme 3 The Function, Limitations, and Potential of the Loyalty Program</w:t>
      </w:r>
    </w:p>
    <w:p w14:paraId="6093B77D" w14:textId="56E75C96" w:rsidR="00615661" w:rsidRPr="00615661" w:rsidRDefault="00615661" w:rsidP="008310AB">
      <w:pPr>
        <w:rPr>
          <w:color w:val="000000"/>
        </w:rPr>
      </w:pPr>
      <w:r w:rsidRPr="00615661">
        <w:rPr>
          <w:color w:val="000000"/>
        </w:rPr>
        <w:t>Although participants appreciated the guest house’s simple loyalty program, they also expressed expectations for more structured rewards. Three subthemes emerged: perceived value, gaps in program structure, and the reinforcing</w:t>
      </w:r>
      <w:r>
        <w:rPr>
          <w:color w:val="000000"/>
        </w:rPr>
        <w:t xml:space="preserve"> </w:t>
      </w:r>
      <w:r w:rsidRPr="00615661">
        <w:rPr>
          <w:color w:val="000000"/>
        </w:rPr>
        <w:t>not primary</w:t>
      </w:r>
      <w:r>
        <w:rPr>
          <w:color w:val="000000"/>
        </w:rPr>
        <w:t xml:space="preserve"> </w:t>
      </w:r>
      <w:r w:rsidRPr="00615661">
        <w:rPr>
          <w:color w:val="000000"/>
        </w:rPr>
        <w:t>role of loyalty rewards.</w:t>
      </w:r>
    </w:p>
    <w:p w14:paraId="15E1FDF4" w14:textId="4F6DCA23" w:rsidR="00615661" w:rsidRPr="008310AB" w:rsidRDefault="00615661" w:rsidP="008310AB">
      <w:pPr>
        <w:rPr>
          <w:b/>
          <w:bCs/>
          <w:color w:val="000000"/>
        </w:rPr>
      </w:pPr>
      <w:r w:rsidRPr="008310AB">
        <w:rPr>
          <w:b/>
          <w:bCs/>
          <w:color w:val="000000"/>
        </w:rPr>
        <w:t>3.1 Perceived Value of a Simple Program</w:t>
      </w:r>
    </w:p>
    <w:p w14:paraId="154D6951" w14:textId="41F08139" w:rsidR="00615661" w:rsidRPr="00615661" w:rsidRDefault="00615661" w:rsidP="008310AB">
      <w:pPr>
        <w:rPr>
          <w:color w:val="000000"/>
        </w:rPr>
      </w:pPr>
      <w:r w:rsidRPr="00615661">
        <w:rPr>
          <w:color w:val="000000"/>
        </w:rPr>
        <w:t>Guests acknowledged that although the rewards were modest, they still contributed to a sense of appreciation. P03 enjoyed the small benefits:</w:t>
      </w:r>
    </w:p>
    <w:p w14:paraId="58F82D97" w14:textId="49A8D94D" w:rsidR="00615661" w:rsidRPr="00615661" w:rsidRDefault="00615661" w:rsidP="008310AB">
      <w:pPr>
        <w:rPr>
          <w:color w:val="000000"/>
        </w:rPr>
      </w:pPr>
      <w:r w:rsidRPr="00615661">
        <w:rPr>
          <w:color w:val="000000"/>
        </w:rPr>
        <w:t>P03: The repeat-guest discount is nice. It’s not huge, but it makes me feel seen.</w:t>
      </w:r>
    </w:p>
    <w:p w14:paraId="64D04797" w14:textId="328C6CA3" w:rsidR="00615661" w:rsidRPr="00615661" w:rsidRDefault="00615661" w:rsidP="008310AB">
      <w:pPr>
        <w:rPr>
          <w:color w:val="000000"/>
        </w:rPr>
      </w:pPr>
      <w:r w:rsidRPr="00615661">
        <w:rPr>
          <w:color w:val="000000"/>
        </w:rPr>
        <w:t>P06 appreciated tangible perks:</w:t>
      </w:r>
    </w:p>
    <w:p w14:paraId="21B77CB7" w14:textId="6D508EBA" w:rsidR="00615661" w:rsidRPr="00615661" w:rsidRDefault="00615661" w:rsidP="008310AB">
      <w:pPr>
        <w:rPr>
          <w:color w:val="000000"/>
        </w:rPr>
      </w:pPr>
      <w:r w:rsidRPr="00615661">
        <w:rPr>
          <w:color w:val="000000"/>
        </w:rPr>
        <w:t>P06: The free minibar is small, but meaningful. It shows they remember us.</w:t>
      </w:r>
    </w:p>
    <w:p w14:paraId="63F7C546" w14:textId="63C3B5D4" w:rsidR="00615661" w:rsidRPr="00615661" w:rsidRDefault="00615661" w:rsidP="008310AB">
      <w:pPr>
        <w:rPr>
          <w:color w:val="000000"/>
        </w:rPr>
      </w:pPr>
      <w:r w:rsidRPr="00615661">
        <w:rPr>
          <w:color w:val="000000"/>
        </w:rPr>
        <w:t>These comments reflect the concept of symbolic value in loyalty programs, where even modest incentives create psychological acknowledgment rather than financial gain.</w:t>
      </w:r>
    </w:p>
    <w:p w14:paraId="50D7D552" w14:textId="090EF524" w:rsidR="00615661" w:rsidRPr="008310AB" w:rsidRDefault="00615661" w:rsidP="008310AB">
      <w:pPr>
        <w:rPr>
          <w:b/>
          <w:bCs/>
          <w:color w:val="000000"/>
        </w:rPr>
      </w:pPr>
      <w:r w:rsidRPr="008310AB">
        <w:rPr>
          <w:b/>
          <w:bCs/>
          <w:color w:val="000000"/>
        </w:rPr>
        <w:t>3.2 Structural Gaps and Guests’ Aspirations for Improvement</w:t>
      </w:r>
    </w:p>
    <w:p w14:paraId="6C6C17EF" w14:textId="77B673FE" w:rsidR="00615661" w:rsidRPr="00615661" w:rsidRDefault="00615661" w:rsidP="008310AB">
      <w:pPr>
        <w:rPr>
          <w:color w:val="000000"/>
        </w:rPr>
      </w:pPr>
      <w:r w:rsidRPr="00615661">
        <w:rPr>
          <w:color w:val="000000"/>
        </w:rPr>
        <w:t>The NVivo node program expectations included several suggestions from participants. Some wanted a point-based system or tiered membership. P09 expressed:</w:t>
      </w:r>
    </w:p>
    <w:p w14:paraId="4CE6280D" w14:textId="04C9130A" w:rsidR="00615661" w:rsidRPr="00615661" w:rsidRDefault="00615661" w:rsidP="008310AB">
      <w:pPr>
        <w:rPr>
          <w:color w:val="000000"/>
        </w:rPr>
      </w:pPr>
      <w:r w:rsidRPr="00615661">
        <w:rPr>
          <w:color w:val="000000"/>
        </w:rPr>
        <w:t>P09: A point system would be clearer. I’d like to see what I can earn.</w:t>
      </w:r>
    </w:p>
    <w:p w14:paraId="47BFB633" w14:textId="019FF5A1" w:rsidR="00615661" w:rsidRPr="00615661" w:rsidRDefault="00615661" w:rsidP="008310AB">
      <w:pPr>
        <w:rPr>
          <w:color w:val="000000"/>
        </w:rPr>
      </w:pPr>
      <w:r w:rsidRPr="00615661">
        <w:rPr>
          <w:color w:val="000000"/>
        </w:rPr>
        <w:t>Staff recognized these aspirations. P11 noted:</w:t>
      </w:r>
    </w:p>
    <w:p w14:paraId="22925170" w14:textId="7AEB4F6F" w:rsidR="00615661" w:rsidRPr="00615661" w:rsidRDefault="00615661" w:rsidP="008310AB">
      <w:pPr>
        <w:rPr>
          <w:color w:val="000000"/>
        </w:rPr>
      </w:pPr>
      <w:r w:rsidRPr="00615661">
        <w:rPr>
          <w:color w:val="000000"/>
        </w:rPr>
        <w:t>P11: We want a more organized loyalty system, but with limited staff it’s challenging.</w:t>
      </w:r>
    </w:p>
    <w:p w14:paraId="7240FB00" w14:textId="5245FD98" w:rsidR="00615661" w:rsidRPr="00615661" w:rsidRDefault="00615661" w:rsidP="008310AB">
      <w:pPr>
        <w:rPr>
          <w:color w:val="000000"/>
        </w:rPr>
      </w:pPr>
      <w:r w:rsidRPr="00615661">
        <w:rPr>
          <w:color w:val="000000"/>
        </w:rPr>
        <w:t>This gap a common tension in small-scale hospitality: the desire to implement modern loyalty mechanisms versus the practical limitations of manpower and technology.</w:t>
      </w:r>
    </w:p>
    <w:p w14:paraId="4E24E69A" w14:textId="621E8A5B" w:rsidR="00615661" w:rsidRPr="008310AB" w:rsidRDefault="00615661" w:rsidP="008310AB">
      <w:pPr>
        <w:rPr>
          <w:b/>
          <w:bCs/>
          <w:color w:val="000000"/>
        </w:rPr>
      </w:pPr>
      <w:r w:rsidRPr="008310AB">
        <w:rPr>
          <w:b/>
          <w:bCs/>
          <w:color w:val="000000"/>
        </w:rPr>
        <w:t xml:space="preserve">3.3 Loyalty Program as a Reinforcer, </w:t>
      </w:r>
      <w:proofErr w:type="gramStart"/>
      <w:r w:rsidRPr="008310AB">
        <w:rPr>
          <w:b/>
          <w:bCs/>
          <w:color w:val="000000"/>
        </w:rPr>
        <w:t>Not</w:t>
      </w:r>
      <w:proofErr w:type="gramEnd"/>
      <w:r w:rsidRPr="008310AB">
        <w:rPr>
          <w:b/>
          <w:bCs/>
          <w:color w:val="000000"/>
        </w:rPr>
        <w:t xml:space="preserve"> a Primary Driver of Retention</w:t>
      </w:r>
    </w:p>
    <w:p w14:paraId="01462783" w14:textId="48AEB29B" w:rsidR="00615661" w:rsidRPr="00615661" w:rsidRDefault="00615661" w:rsidP="008310AB">
      <w:pPr>
        <w:rPr>
          <w:color w:val="000000"/>
        </w:rPr>
      </w:pPr>
      <w:r w:rsidRPr="00615661">
        <w:rPr>
          <w:color w:val="000000"/>
        </w:rPr>
        <w:t>Despite requests for improvement, most guests admitted that the program was not the main reason for returning.</w:t>
      </w:r>
    </w:p>
    <w:p w14:paraId="25BC2451" w14:textId="7106AD36" w:rsidR="00615661" w:rsidRPr="00615661" w:rsidRDefault="00615661" w:rsidP="008310AB">
      <w:pPr>
        <w:rPr>
          <w:color w:val="000000"/>
        </w:rPr>
      </w:pPr>
      <w:r w:rsidRPr="00615661">
        <w:rPr>
          <w:color w:val="000000"/>
        </w:rPr>
        <w:t>P07 summarized:</w:t>
      </w:r>
    </w:p>
    <w:p w14:paraId="0A1105E2" w14:textId="0A0637A3" w:rsidR="00615661" w:rsidRPr="00615661" w:rsidRDefault="00615661" w:rsidP="008310AB">
      <w:pPr>
        <w:rPr>
          <w:color w:val="000000"/>
        </w:rPr>
      </w:pPr>
      <w:r w:rsidRPr="00615661">
        <w:rPr>
          <w:color w:val="000000"/>
        </w:rPr>
        <w:t>P07: I come back because of the atmosphere. The discount is just a bonus.</w:t>
      </w:r>
    </w:p>
    <w:p w14:paraId="15CA2EA6" w14:textId="50B26B6B" w:rsidR="00615661" w:rsidRPr="00615661" w:rsidRDefault="00615661" w:rsidP="008310AB">
      <w:pPr>
        <w:rPr>
          <w:color w:val="000000"/>
        </w:rPr>
      </w:pPr>
      <w:r w:rsidRPr="00615661">
        <w:rPr>
          <w:color w:val="000000"/>
        </w:rPr>
        <w:lastRenderedPageBreak/>
        <w:t>This aligns with literature stating that loyalty programs have a reinforcing effect rather than constituting the main driver of loyalty. The program works best when layered over strong service quality and emotional connection.</w:t>
      </w:r>
    </w:p>
    <w:p w14:paraId="40D2673D" w14:textId="67CFD484" w:rsidR="00615661" w:rsidRPr="00615661" w:rsidRDefault="00615661" w:rsidP="008310AB">
      <w:pPr>
        <w:rPr>
          <w:color w:val="000000"/>
        </w:rPr>
      </w:pPr>
      <w:r w:rsidRPr="00615661">
        <w:rPr>
          <w:color w:val="000000"/>
        </w:rPr>
        <w:t>Discussion of Theme 3</w:t>
      </w:r>
    </w:p>
    <w:p w14:paraId="48300B5D" w14:textId="35A5C658" w:rsidR="00615661" w:rsidRPr="00615661" w:rsidRDefault="00615661" w:rsidP="008310AB">
      <w:pPr>
        <w:rPr>
          <w:color w:val="000000"/>
        </w:rPr>
      </w:pPr>
      <w:r w:rsidRPr="00615661">
        <w:rPr>
          <w:color w:val="000000"/>
        </w:rPr>
        <w:t>The loyalty program at Rumah Jawa Syariah appears to play a supportive role</w:t>
      </w:r>
      <w:r>
        <w:rPr>
          <w:color w:val="000000"/>
        </w:rPr>
        <w:t xml:space="preserve"> </w:t>
      </w:r>
      <w:r w:rsidRPr="00615661">
        <w:rPr>
          <w:color w:val="000000"/>
        </w:rPr>
        <w:t>strengthening attachment but not necessarily forming it. This mirrors findings from loyalty research that suggest programs are most effective when integrated with a broader relational strategy. For small hospitality providers, even simple programs can enhance retention if aligned with service excellence.</w:t>
      </w:r>
    </w:p>
    <w:p w14:paraId="49902828" w14:textId="6DCAD554" w:rsidR="00615661" w:rsidRPr="008310AB" w:rsidRDefault="00615661" w:rsidP="008310AB">
      <w:pPr>
        <w:rPr>
          <w:b/>
          <w:bCs/>
          <w:color w:val="000000"/>
        </w:rPr>
      </w:pPr>
      <w:r w:rsidRPr="008310AB">
        <w:rPr>
          <w:b/>
          <w:bCs/>
          <w:color w:val="000000"/>
        </w:rPr>
        <w:t>Overall Discussion</w:t>
      </w:r>
    </w:p>
    <w:p w14:paraId="63ADA3AD" w14:textId="77777777" w:rsidR="00615661" w:rsidRDefault="00615661" w:rsidP="008310AB">
      <w:pPr>
        <w:rPr>
          <w:color w:val="000000"/>
        </w:rPr>
      </w:pPr>
      <w:r w:rsidRPr="00615661">
        <w:rPr>
          <w:color w:val="000000"/>
        </w:rPr>
        <w:t>Integrating all themes, this research highlights that customer retention in small hospitality settings is influenced more strongly by relational and experiential factors than by program mechanics. The NVivo analysis revealed that most loyalty-related codes were intertwined with service quality nodes, suggesting a holistic experience rather than separate determinants.</w:t>
      </w:r>
    </w:p>
    <w:p w14:paraId="0C8EB6B6" w14:textId="176D173D" w:rsidR="00615661" w:rsidRPr="008310AB" w:rsidRDefault="00615661" w:rsidP="008310AB">
      <w:pPr>
        <w:rPr>
          <w:b/>
          <w:bCs/>
          <w:color w:val="000000"/>
        </w:rPr>
      </w:pPr>
      <w:r w:rsidRPr="008310AB">
        <w:rPr>
          <w:b/>
          <w:bCs/>
          <w:color w:val="000000"/>
        </w:rPr>
        <w:t>Service Quality as the Foundation of Loyalty</w:t>
      </w:r>
    </w:p>
    <w:p w14:paraId="6D5CCD9C" w14:textId="4F214E82" w:rsidR="00615661" w:rsidRPr="00615661" w:rsidRDefault="00615661" w:rsidP="008310AB">
      <w:pPr>
        <w:rPr>
          <w:color w:val="000000"/>
        </w:rPr>
      </w:pPr>
      <w:r w:rsidRPr="00615661">
        <w:rPr>
          <w:color w:val="000000"/>
        </w:rPr>
        <w:t>Consistent with SERVQUAL, guests valued reliability, assurance, and empathy. These dimensions were intertwined with emotional loyalty, demonstrating that service touches both functional and affective layers of customer experience.</w:t>
      </w:r>
    </w:p>
    <w:p w14:paraId="2D352DAA" w14:textId="4BCDB8C7" w:rsidR="00615661" w:rsidRPr="008310AB" w:rsidRDefault="00615661" w:rsidP="008310AB">
      <w:pPr>
        <w:rPr>
          <w:b/>
          <w:bCs/>
          <w:color w:val="000000"/>
        </w:rPr>
      </w:pPr>
      <w:r w:rsidRPr="008310AB">
        <w:rPr>
          <w:b/>
          <w:bCs/>
          <w:color w:val="000000"/>
        </w:rPr>
        <w:t>Emotional and Normative Loyalty Driving Retention</w:t>
      </w:r>
    </w:p>
    <w:p w14:paraId="7A4D32EB" w14:textId="3BC81572" w:rsidR="00615661" w:rsidRPr="00615661" w:rsidRDefault="00615661" w:rsidP="008310AB">
      <w:pPr>
        <w:rPr>
          <w:color w:val="000000"/>
        </w:rPr>
      </w:pPr>
      <w:r w:rsidRPr="00615661">
        <w:rPr>
          <w:color w:val="000000"/>
        </w:rPr>
        <w:t>The study confirms the relevance of non-financial loyalty constructs</w:t>
      </w:r>
      <w:r>
        <w:rPr>
          <w:color w:val="000000"/>
        </w:rPr>
        <w:t xml:space="preserve"> </w:t>
      </w:r>
      <w:r w:rsidRPr="00615661">
        <w:rPr>
          <w:color w:val="000000"/>
        </w:rPr>
        <w:t>habit, comfort, interpersonal warmth, and value alignment. These factors often outweigh transactional incentives.</w:t>
      </w:r>
    </w:p>
    <w:p w14:paraId="7451AD6D" w14:textId="7CA01C36" w:rsidR="00615661" w:rsidRPr="008310AB" w:rsidRDefault="00615661" w:rsidP="00876994">
      <w:pPr>
        <w:spacing w:after="0"/>
        <w:rPr>
          <w:b/>
          <w:bCs/>
          <w:color w:val="000000"/>
        </w:rPr>
      </w:pPr>
      <w:r w:rsidRPr="008310AB">
        <w:rPr>
          <w:b/>
          <w:bCs/>
          <w:color w:val="000000"/>
        </w:rPr>
        <w:t>Loyalty Program as a Complementary Tool</w:t>
      </w:r>
    </w:p>
    <w:p w14:paraId="542D74EF" w14:textId="77777777" w:rsidR="00BA4F04" w:rsidRDefault="00615661" w:rsidP="008310AB">
      <w:pPr>
        <w:rPr>
          <w:color w:val="000000"/>
        </w:rPr>
      </w:pPr>
      <w:r w:rsidRPr="00615661">
        <w:rPr>
          <w:color w:val="000000"/>
        </w:rPr>
        <w:t>While appreciated, the program alone was insufficient to generate loyalty. Its effectiveness depended on the strength of the underlying relationship between guests and the establishment.</w:t>
      </w:r>
      <w:r>
        <w:rPr>
          <w:color w:val="000000"/>
        </w:rPr>
        <w:t xml:space="preserve"> </w:t>
      </w:r>
      <w:r w:rsidRPr="00615661">
        <w:rPr>
          <w:color w:val="000000"/>
        </w:rPr>
        <w:t>The findings suggest that customer retention at Rumah Jawa Syariah is largely shaped by the interplay between high service quality and emotionally grounded loyalty. The loyalty program, although beneficial, plays a secondary reinforcing role. For small guest houses aiming to strengthen retention, investment in staff</w:t>
      </w:r>
      <w:r w:rsidR="00D517AE">
        <w:rPr>
          <w:color w:val="000000"/>
        </w:rPr>
        <w:t xml:space="preserve"> </w:t>
      </w:r>
      <w:r w:rsidRPr="00615661">
        <w:rPr>
          <w:color w:val="000000"/>
        </w:rPr>
        <w:t>guest relationships, cultural experience enhancement, and modest yet clear loyalty incentives may offer the most sustainable strategy.</w:t>
      </w:r>
      <w:bookmarkEnd w:id="3"/>
    </w:p>
    <w:p w14:paraId="5CBEDBDC" w14:textId="7B664645" w:rsidR="00BA4F04" w:rsidRPr="00BA4F04" w:rsidRDefault="00DD61AF" w:rsidP="008310AB">
      <w:pPr>
        <w:pStyle w:val="ListParagraph"/>
        <w:numPr>
          <w:ilvl w:val="0"/>
          <w:numId w:val="10"/>
        </w:numPr>
        <w:spacing w:before="240"/>
        <w:ind w:left="284" w:hanging="284"/>
        <w:rPr>
          <w:b/>
          <w:bCs/>
          <w:lang w:val="en"/>
        </w:rPr>
      </w:pPr>
      <w:r w:rsidRPr="00BA4F04">
        <w:rPr>
          <w:b/>
          <w:bCs/>
          <w:lang w:val="en"/>
        </w:rPr>
        <w:t>Conclusion</w:t>
      </w:r>
    </w:p>
    <w:p w14:paraId="320CB532" w14:textId="69437A7C" w:rsidR="00BA4F04" w:rsidRDefault="00BA4F04" w:rsidP="00BA4F04">
      <w:pPr>
        <w:spacing w:after="120"/>
        <w:rPr>
          <w:b/>
          <w:bCs/>
          <w:color w:val="000000"/>
          <w:szCs w:val="20"/>
          <w:lang w:val="en"/>
        </w:rPr>
      </w:pPr>
      <w:r w:rsidRPr="00BA4F04">
        <w:rPr>
          <w:color w:val="000000"/>
          <w:szCs w:val="20"/>
          <w:lang w:val="en"/>
        </w:rPr>
        <w:t>This study set out to understand how loyalty programs contribute to customer retention at Rumah Jawa Syariah Guest House and what factors genuinely sustain guests’ continued patronage. The findings indicate that loyalty in this context is grounded far more deeply in the quality of interpersonal encounters and the consistency of service than in the formal benefits provided by the loyalty program. Guests returned because they experienced reliable, respectful, and emotionally warm interactions, supported by an atmosphere that felt familiar and culturally meaningful. These elements formed the core of their attachment, creating a sense of comfort that outweighed the modest incentives offered through the loyalty scheme.</w:t>
      </w:r>
      <w:r>
        <w:rPr>
          <w:b/>
          <w:bCs/>
          <w:color w:val="000000"/>
          <w:szCs w:val="20"/>
          <w:lang w:val="en"/>
        </w:rPr>
        <w:t xml:space="preserve"> </w:t>
      </w:r>
      <w:r w:rsidRPr="00BA4F04">
        <w:rPr>
          <w:color w:val="000000"/>
          <w:szCs w:val="20"/>
          <w:lang w:val="en"/>
        </w:rPr>
        <w:t>The loyalty program did contribute, but its role was primarily supportive rather than generative. It reinforced guests’ existing positive feelings rather than creating loyalty in its own right. The evidence suggests that the program works effectively when paired with attentive service and a coherent cultural environment; without these foundations, the incentives alone would not be strong enough to sustain repeat visits. At the same time, participants’ comments signal that a clearer structure</w:t>
      </w:r>
      <w:r>
        <w:rPr>
          <w:b/>
          <w:bCs/>
          <w:color w:val="000000"/>
          <w:szCs w:val="20"/>
          <w:lang w:val="en"/>
        </w:rPr>
        <w:t xml:space="preserve"> </w:t>
      </w:r>
      <w:r w:rsidRPr="00BA4F04">
        <w:rPr>
          <w:color w:val="000000"/>
          <w:szCs w:val="20"/>
          <w:lang w:val="en"/>
        </w:rPr>
        <w:t>perhaps a more transparent rewards system</w:t>
      </w:r>
      <w:r>
        <w:rPr>
          <w:b/>
          <w:bCs/>
          <w:color w:val="000000"/>
          <w:szCs w:val="20"/>
          <w:lang w:val="en"/>
        </w:rPr>
        <w:t xml:space="preserve"> </w:t>
      </w:r>
      <w:r w:rsidRPr="00BA4F04">
        <w:rPr>
          <w:color w:val="000000"/>
          <w:szCs w:val="20"/>
          <w:lang w:val="en"/>
        </w:rPr>
        <w:t>could strengthen the program’s perceived value without requiring extensive financial resources.</w:t>
      </w:r>
      <w:r>
        <w:rPr>
          <w:b/>
          <w:bCs/>
          <w:color w:val="000000"/>
          <w:szCs w:val="20"/>
          <w:lang w:val="en"/>
        </w:rPr>
        <w:t xml:space="preserve"> </w:t>
      </w:r>
      <w:r w:rsidRPr="00BA4F04">
        <w:rPr>
          <w:color w:val="000000"/>
          <w:szCs w:val="20"/>
          <w:lang w:val="en"/>
        </w:rPr>
        <w:t>From a practical standpoint, small hospitality establishments may draw from this study the understanding that loyalty grows out of relationships before it grows out of rewards. The implications for practice include prioritizing staff training focused on warmth, reliability, and communication, and developing loyalty initiatives that acknowledge guests personally rather than solely through transactional mechanisms. For Rumah Jawa Syariah, incremental improvements to the current loyalty system could be beneficial, but preserving the personal and culturally grounded service style remains essential.</w:t>
      </w:r>
      <w:r>
        <w:rPr>
          <w:b/>
          <w:bCs/>
          <w:color w:val="000000"/>
          <w:szCs w:val="20"/>
          <w:lang w:val="en"/>
        </w:rPr>
        <w:t xml:space="preserve"> </w:t>
      </w:r>
      <w:r w:rsidRPr="00BA4F04">
        <w:rPr>
          <w:color w:val="000000"/>
          <w:szCs w:val="20"/>
          <w:lang w:val="en"/>
        </w:rPr>
        <w:t xml:space="preserve">Further research might explore how loyalty forms in similar small-scale accommodations with distinct cultural identities or how digital CRM tools can be adapted </w:t>
      </w:r>
      <w:r w:rsidRPr="00BA4F04">
        <w:rPr>
          <w:color w:val="000000"/>
          <w:szCs w:val="20"/>
          <w:lang w:val="en"/>
        </w:rPr>
        <w:lastRenderedPageBreak/>
        <w:t>for businesses with limited technological capacity. Expanding the study to include comparative sites would also help clarify whether the patterns observed here are characteristic of the broader hospitality sector or uniquely tied to the guest house’s cultural positioning.</w:t>
      </w:r>
    </w:p>
    <w:p w14:paraId="5E74C680" w14:textId="214A14CD" w:rsidR="00A11036" w:rsidRPr="00BA4F04" w:rsidRDefault="00A11036" w:rsidP="00BA4F04">
      <w:pPr>
        <w:pStyle w:val="Heading1"/>
        <w:tabs>
          <w:tab w:val="left" w:pos="284"/>
        </w:tabs>
        <w:rPr>
          <w:rFonts w:eastAsia="Calibri"/>
          <w:b w:val="0"/>
          <w:bCs w:val="0"/>
          <w:color w:val="000000"/>
          <w:szCs w:val="20"/>
          <w:lang w:val="en"/>
        </w:rPr>
      </w:pPr>
      <w:r w:rsidRPr="006A7A66">
        <w:t>Reference</w:t>
      </w:r>
    </w:p>
    <w:p w14:paraId="4BF59B1B"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Abdullah, M., &amp; </w:t>
      </w:r>
      <w:proofErr w:type="spellStart"/>
      <w:r w:rsidRPr="008310AB">
        <w:rPr>
          <w:szCs w:val="16"/>
          <w:lang w:val="en-ID"/>
        </w:rPr>
        <w:t>Toyib</w:t>
      </w:r>
      <w:proofErr w:type="spellEnd"/>
      <w:r w:rsidRPr="008310AB">
        <w:rPr>
          <w:szCs w:val="16"/>
          <w:lang w:val="en-ID"/>
        </w:rPr>
        <w:t xml:space="preserve">, M. (2018). </w:t>
      </w:r>
      <w:r w:rsidRPr="008310AB">
        <w:rPr>
          <w:i/>
          <w:iCs/>
          <w:szCs w:val="16"/>
          <w:lang w:val="en-ID"/>
        </w:rPr>
        <w:t>Islamic Education and Parental Satisfaction</w:t>
      </w:r>
      <w:r w:rsidRPr="008310AB">
        <w:rPr>
          <w:szCs w:val="16"/>
          <w:lang w:val="en-ID"/>
        </w:rPr>
        <w:t>. Journal of Islamic Studies, 12(3), 45–60.</w:t>
      </w:r>
    </w:p>
    <w:p w14:paraId="284C49A1"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Ali, F., Zhou, Y., Hussain, K., Nair, P. K., &amp; </w:t>
      </w:r>
      <w:proofErr w:type="spellStart"/>
      <w:r w:rsidRPr="008310AB">
        <w:rPr>
          <w:szCs w:val="16"/>
          <w:lang w:val="en-ID"/>
        </w:rPr>
        <w:t>Ragavan</w:t>
      </w:r>
      <w:proofErr w:type="spellEnd"/>
      <w:r w:rsidRPr="008310AB">
        <w:rPr>
          <w:szCs w:val="16"/>
          <w:lang w:val="en-ID"/>
        </w:rPr>
        <w:t xml:space="preserve">, N. A. (2016). Does service quality affect student performance? </w:t>
      </w:r>
      <w:r w:rsidRPr="008310AB">
        <w:rPr>
          <w:i/>
          <w:iCs/>
          <w:szCs w:val="16"/>
          <w:lang w:val="en-ID"/>
        </w:rPr>
        <w:t>Quality Assurance in Education, 24</w:t>
      </w:r>
      <w:r w:rsidRPr="008310AB">
        <w:rPr>
          <w:szCs w:val="16"/>
          <w:lang w:val="en-ID"/>
        </w:rPr>
        <w:t xml:space="preserve">(3), 294–309. </w:t>
      </w:r>
      <w:hyperlink r:id="rId15" w:tgtFrame="_new" w:history="1">
        <w:r w:rsidRPr="008310AB">
          <w:rPr>
            <w:rStyle w:val="Hyperlink"/>
            <w:szCs w:val="16"/>
            <w:lang w:val="en-ID"/>
          </w:rPr>
          <w:t>https://doi.org/10.1108/QAE-02-2015-0015</w:t>
        </w:r>
      </w:hyperlink>
    </w:p>
    <w:p w14:paraId="11B171C5"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Al-</w:t>
      </w:r>
      <w:proofErr w:type="spellStart"/>
      <w:r w:rsidRPr="008310AB">
        <w:rPr>
          <w:szCs w:val="16"/>
          <w:lang w:val="en-ID"/>
        </w:rPr>
        <w:t>Shbiel</w:t>
      </w:r>
      <w:proofErr w:type="spellEnd"/>
      <w:r w:rsidRPr="008310AB">
        <w:rPr>
          <w:szCs w:val="16"/>
          <w:lang w:val="en-ID"/>
        </w:rPr>
        <w:t xml:space="preserve">, S. O., &amp; Ahmad, M. A. (2018). The impact of customer relationship management on customer satisfaction: The mediating role of service quality. </w:t>
      </w:r>
      <w:r w:rsidRPr="008310AB">
        <w:rPr>
          <w:i/>
          <w:iCs/>
          <w:szCs w:val="16"/>
          <w:lang w:val="en-ID"/>
        </w:rPr>
        <w:t>International Journal of Business and Management, 13</w:t>
      </w:r>
      <w:r w:rsidRPr="008310AB">
        <w:rPr>
          <w:szCs w:val="16"/>
          <w:lang w:val="en-ID"/>
        </w:rPr>
        <w:t xml:space="preserve">(7), 180–194. </w:t>
      </w:r>
      <w:hyperlink r:id="rId16" w:tgtFrame="_new" w:history="1">
        <w:r w:rsidRPr="008310AB">
          <w:rPr>
            <w:rStyle w:val="Hyperlink"/>
            <w:szCs w:val="16"/>
            <w:lang w:val="en-ID"/>
          </w:rPr>
          <w:t>https://doi.org/10.5539/ijbm.v13n7p180</w:t>
        </w:r>
      </w:hyperlink>
    </w:p>
    <w:p w14:paraId="5F664298"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Alves, H., &amp; </w:t>
      </w:r>
      <w:proofErr w:type="spellStart"/>
      <w:r w:rsidRPr="008310AB">
        <w:rPr>
          <w:szCs w:val="16"/>
          <w:lang w:val="en-ID"/>
        </w:rPr>
        <w:t>Raposo</w:t>
      </w:r>
      <w:proofErr w:type="spellEnd"/>
      <w:r w:rsidRPr="008310AB">
        <w:rPr>
          <w:szCs w:val="16"/>
          <w:lang w:val="en-ID"/>
        </w:rPr>
        <w:t xml:space="preserve">, M. (2010). The influence of university image on student behaviour. </w:t>
      </w:r>
      <w:r w:rsidRPr="008310AB">
        <w:rPr>
          <w:i/>
          <w:iCs/>
          <w:szCs w:val="16"/>
          <w:lang w:val="en-ID"/>
        </w:rPr>
        <w:t>International Journal of Educational Management, 24</w:t>
      </w:r>
      <w:r w:rsidRPr="008310AB">
        <w:rPr>
          <w:szCs w:val="16"/>
          <w:lang w:val="en-ID"/>
        </w:rPr>
        <w:t xml:space="preserve">(1), 73–85. </w:t>
      </w:r>
      <w:hyperlink r:id="rId17" w:tgtFrame="_new" w:history="1">
        <w:r w:rsidRPr="008310AB">
          <w:rPr>
            <w:rStyle w:val="Hyperlink"/>
            <w:szCs w:val="16"/>
            <w:lang w:val="en-ID"/>
          </w:rPr>
          <w:t>https://doi.org/10.1108/09513541011013013</w:t>
        </w:r>
      </w:hyperlink>
    </w:p>
    <w:p w14:paraId="7115AB9D"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Berry, L. L., Zeithaml, V. A., &amp; Parasuraman, A. (2002). Understanding service quality. </w:t>
      </w:r>
      <w:r w:rsidRPr="008310AB">
        <w:rPr>
          <w:i/>
          <w:iCs/>
          <w:szCs w:val="16"/>
          <w:lang w:val="en-ID"/>
        </w:rPr>
        <w:t>Harvard Business Review, 80</w:t>
      </w:r>
      <w:r w:rsidRPr="008310AB">
        <w:rPr>
          <w:szCs w:val="16"/>
          <w:lang w:val="en-ID"/>
        </w:rPr>
        <w:t>(1), 25–35.</w:t>
      </w:r>
    </w:p>
    <w:p w14:paraId="6765A38A"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Buttle, F., &amp; </w:t>
      </w:r>
      <w:proofErr w:type="spellStart"/>
      <w:r w:rsidRPr="008310AB">
        <w:rPr>
          <w:szCs w:val="16"/>
          <w:lang w:val="en-ID"/>
        </w:rPr>
        <w:t>Maklan</w:t>
      </w:r>
      <w:proofErr w:type="spellEnd"/>
      <w:r w:rsidRPr="008310AB">
        <w:rPr>
          <w:szCs w:val="16"/>
          <w:lang w:val="en-ID"/>
        </w:rPr>
        <w:t xml:space="preserve">, S. (2021). </w:t>
      </w:r>
      <w:r w:rsidRPr="008310AB">
        <w:rPr>
          <w:i/>
          <w:iCs/>
          <w:szCs w:val="16"/>
          <w:lang w:val="en-ID"/>
        </w:rPr>
        <w:t>Customer relationship management: Concepts and technologies</w:t>
      </w:r>
      <w:r w:rsidRPr="008310AB">
        <w:rPr>
          <w:szCs w:val="16"/>
          <w:lang w:val="en-ID"/>
        </w:rPr>
        <w:t>. Routledge.</w:t>
      </w:r>
    </w:p>
    <w:p w14:paraId="413FC890"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Chen, C., &amp; Chen, F. (2019). Service recovery and customer satisfaction in the education sector. </w:t>
      </w:r>
      <w:r w:rsidRPr="008310AB">
        <w:rPr>
          <w:i/>
          <w:iCs/>
          <w:szCs w:val="16"/>
          <w:lang w:val="en-ID"/>
        </w:rPr>
        <w:t>Asian Education Review, 7</w:t>
      </w:r>
      <w:r w:rsidRPr="008310AB">
        <w:rPr>
          <w:szCs w:val="16"/>
          <w:lang w:val="en-ID"/>
        </w:rPr>
        <w:t>(2), 55–70.</w:t>
      </w:r>
    </w:p>
    <w:p w14:paraId="46FE1793"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Creswell, J. W. (2018). </w:t>
      </w:r>
      <w:r w:rsidRPr="008310AB">
        <w:rPr>
          <w:i/>
          <w:iCs/>
          <w:szCs w:val="16"/>
          <w:lang w:val="en-ID"/>
        </w:rPr>
        <w:t>Qualitative inquiry and research design: Choosing among five approaches</w:t>
      </w:r>
      <w:r w:rsidRPr="008310AB">
        <w:rPr>
          <w:szCs w:val="16"/>
          <w:lang w:val="en-ID"/>
        </w:rPr>
        <w:t>. Sage Publications.</w:t>
      </w:r>
    </w:p>
    <w:p w14:paraId="1CDB4563"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Denzin, N. K., &amp; Lincoln, Y. S. (2011). </w:t>
      </w:r>
      <w:r w:rsidRPr="008310AB">
        <w:rPr>
          <w:i/>
          <w:iCs/>
          <w:szCs w:val="16"/>
          <w:lang w:val="en-ID"/>
        </w:rPr>
        <w:t>The SAGE handbook of qualitative research</w:t>
      </w:r>
      <w:r w:rsidRPr="008310AB">
        <w:rPr>
          <w:szCs w:val="16"/>
          <w:lang w:val="en-ID"/>
        </w:rPr>
        <w:t xml:space="preserve"> (4th ed.). Sage Publications.</w:t>
      </w:r>
    </w:p>
    <w:p w14:paraId="2301986B"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Febrianto</w:t>
      </w:r>
      <w:proofErr w:type="spellEnd"/>
      <w:r w:rsidRPr="008310AB">
        <w:rPr>
          <w:szCs w:val="16"/>
          <w:lang w:val="en-ID"/>
        </w:rPr>
        <w:t xml:space="preserve">, A., &amp; Damayanti, S. (2021). Customer relationship management and service quality in Islamic boarding schools. </w:t>
      </w:r>
      <w:r w:rsidRPr="008310AB">
        <w:rPr>
          <w:i/>
          <w:iCs/>
          <w:szCs w:val="16"/>
          <w:lang w:val="en-ID"/>
        </w:rPr>
        <w:t>Journal of Islamic Education Management, 6</w:t>
      </w:r>
      <w:r w:rsidRPr="008310AB">
        <w:rPr>
          <w:szCs w:val="16"/>
          <w:lang w:val="en-ID"/>
        </w:rPr>
        <w:t>(2), 112–129.</w:t>
      </w:r>
    </w:p>
    <w:p w14:paraId="0F411638"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Finlay, L. (2002). Negotiating the swamp: The opportunity and challenge of reflexivity in research practice. </w:t>
      </w:r>
      <w:r w:rsidRPr="008310AB">
        <w:rPr>
          <w:i/>
          <w:iCs/>
          <w:szCs w:val="16"/>
          <w:lang w:val="en-ID"/>
        </w:rPr>
        <w:t>Qualitative Research, 2</w:t>
      </w:r>
      <w:r w:rsidRPr="008310AB">
        <w:rPr>
          <w:szCs w:val="16"/>
          <w:lang w:val="en-ID"/>
        </w:rPr>
        <w:t xml:space="preserve">(2), 209–230. </w:t>
      </w:r>
      <w:hyperlink r:id="rId18" w:tgtFrame="_new" w:history="1">
        <w:r w:rsidRPr="008310AB">
          <w:rPr>
            <w:rStyle w:val="Hyperlink"/>
            <w:szCs w:val="16"/>
            <w:lang w:val="en-ID"/>
          </w:rPr>
          <w:t>https://doi.org/10.1177/146879410200200205</w:t>
        </w:r>
      </w:hyperlink>
    </w:p>
    <w:p w14:paraId="4EFE118C"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Giddens, A. (1984). </w:t>
      </w:r>
      <w:r w:rsidRPr="008310AB">
        <w:rPr>
          <w:i/>
          <w:iCs/>
          <w:szCs w:val="16"/>
          <w:lang w:val="en-ID"/>
        </w:rPr>
        <w:t>The constitution of society: Outline of the theory of structuration</w:t>
      </w:r>
      <w:r w:rsidRPr="008310AB">
        <w:rPr>
          <w:szCs w:val="16"/>
          <w:lang w:val="en-ID"/>
        </w:rPr>
        <w:t>. University of California Press.</w:t>
      </w:r>
    </w:p>
    <w:p w14:paraId="03F41256"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Griffin, J. (2005). </w:t>
      </w:r>
      <w:r w:rsidRPr="008310AB">
        <w:rPr>
          <w:i/>
          <w:iCs/>
          <w:szCs w:val="16"/>
          <w:lang w:val="en-ID"/>
        </w:rPr>
        <w:t>Customer loyalty: How to earn it, how to keep it</w:t>
      </w:r>
      <w:r w:rsidRPr="008310AB">
        <w:rPr>
          <w:szCs w:val="16"/>
          <w:lang w:val="en-ID"/>
        </w:rPr>
        <w:t>. Jossey-Bass.</w:t>
      </w:r>
    </w:p>
    <w:p w14:paraId="457024FD"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Gronroos</w:t>
      </w:r>
      <w:proofErr w:type="spellEnd"/>
      <w:r w:rsidRPr="008310AB">
        <w:rPr>
          <w:szCs w:val="16"/>
          <w:lang w:val="en-ID"/>
        </w:rPr>
        <w:t xml:space="preserve">, C. (2007). </w:t>
      </w:r>
      <w:r w:rsidRPr="008310AB">
        <w:rPr>
          <w:i/>
          <w:iCs/>
          <w:szCs w:val="16"/>
          <w:lang w:val="en-ID"/>
        </w:rPr>
        <w:t>Service management and marketing: Customer management in service competition</w:t>
      </w:r>
      <w:r w:rsidRPr="008310AB">
        <w:rPr>
          <w:szCs w:val="16"/>
          <w:lang w:val="en-ID"/>
        </w:rPr>
        <w:t>. John Wiley &amp; Sons.</w:t>
      </w:r>
    </w:p>
    <w:p w14:paraId="7A47DD24"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Gupta, A., &amp; Singh, R. (2022). CRM and service quality in higher education: An integrated approach. </w:t>
      </w:r>
      <w:r w:rsidRPr="008310AB">
        <w:rPr>
          <w:i/>
          <w:iCs/>
          <w:szCs w:val="16"/>
          <w:lang w:val="en-ID"/>
        </w:rPr>
        <w:t>Journal of Relationship Marketing, 21</w:t>
      </w:r>
      <w:r w:rsidRPr="008310AB">
        <w:rPr>
          <w:szCs w:val="16"/>
          <w:lang w:val="en-ID"/>
        </w:rPr>
        <w:t xml:space="preserve">(2), 123–145. </w:t>
      </w:r>
      <w:hyperlink r:id="rId19" w:tgtFrame="_new" w:history="1">
        <w:r w:rsidRPr="008310AB">
          <w:rPr>
            <w:rStyle w:val="Hyperlink"/>
            <w:szCs w:val="16"/>
            <w:lang w:val="en-ID"/>
          </w:rPr>
          <w:t>https://doi.org/10.1080/15332667.2020.1861423</w:t>
        </w:r>
      </w:hyperlink>
    </w:p>
    <w:p w14:paraId="31FBA91D"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Hapsari</w:t>
      </w:r>
      <w:proofErr w:type="spellEnd"/>
      <w:r w:rsidRPr="008310AB">
        <w:rPr>
          <w:szCs w:val="16"/>
          <w:lang w:val="en-ID"/>
        </w:rPr>
        <w:t xml:space="preserve">, M., Wibowo, A., &amp; </w:t>
      </w:r>
      <w:proofErr w:type="spellStart"/>
      <w:r w:rsidRPr="008310AB">
        <w:rPr>
          <w:szCs w:val="16"/>
          <w:lang w:val="en-ID"/>
        </w:rPr>
        <w:t>Pranata</w:t>
      </w:r>
      <w:proofErr w:type="spellEnd"/>
      <w:r w:rsidRPr="008310AB">
        <w:rPr>
          <w:szCs w:val="16"/>
          <w:lang w:val="en-ID"/>
        </w:rPr>
        <w:t xml:space="preserve">, J. (2022). Empathy and service experience in Islamic schools. </w:t>
      </w:r>
      <w:r w:rsidRPr="008310AB">
        <w:rPr>
          <w:i/>
          <w:iCs/>
          <w:szCs w:val="16"/>
          <w:lang w:val="en-ID"/>
        </w:rPr>
        <w:t>Journal of Educational Services, 5</w:t>
      </w:r>
      <w:r w:rsidRPr="008310AB">
        <w:rPr>
          <w:szCs w:val="16"/>
          <w:lang w:val="en-ID"/>
        </w:rPr>
        <w:t>(1), 33–47.</w:t>
      </w:r>
    </w:p>
    <w:p w14:paraId="1E937AE7"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Hennig-</w:t>
      </w:r>
      <w:proofErr w:type="spellStart"/>
      <w:r w:rsidRPr="008310AB">
        <w:rPr>
          <w:szCs w:val="16"/>
          <w:lang w:val="en-ID"/>
        </w:rPr>
        <w:t>Thurau</w:t>
      </w:r>
      <w:proofErr w:type="spellEnd"/>
      <w:r w:rsidRPr="008310AB">
        <w:rPr>
          <w:szCs w:val="16"/>
          <w:lang w:val="en-ID"/>
        </w:rPr>
        <w:t xml:space="preserve">, T., Langer, M. F., &amp; Hansen, U. (2001). </w:t>
      </w:r>
      <w:proofErr w:type="spellStart"/>
      <w:r w:rsidRPr="008310AB">
        <w:rPr>
          <w:szCs w:val="16"/>
          <w:lang w:val="en-ID"/>
        </w:rPr>
        <w:t>Modeling</w:t>
      </w:r>
      <w:proofErr w:type="spellEnd"/>
      <w:r w:rsidRPr="008310AB">
        <w:rPr>
          <w:szCs w:val="16"/>
          <w:lang w:val="en-ID"/>
        </w:rPr>
        <w:t xml:space="preserve"> and managing student loyalty. </w:t>
      </w:r>
      <w:r w:rsidRPr="008310AB">
        <w:rPr>
          <w:i/>
          <w:iCs/>
          <w:szCs w:val="16"/>
          <w:lang w:val="en-ID"/>
        </w:rPr>
        <w:t>Journal of Service Research, 3</w:t>
      </w:r>
      <w:r w:rsidRPr="008310AB">
        <w:rPr>
          <w:szCs w:val="16"/>
          <w:lang w:val="en-ID"/>
        </w:rPr>
        <w:t xml:space="preserve">(4), 331–344. </w:t>
      </w:r>
      <w:hyperlink r:id="rId20" w:tgtFrame="_new" w:history="1">
        <w:r w:rsidRPr="008310AB">
          <w:rPr>
            <w:rStyle w:val="Hyperlink"/>
            <w:szCs w:val="16"/>
            <w:lang w:val="en-ID"/>
          </w:rPr>
          <w:t>https://doi.org/10.1177/109467050134004</w:t>
        </w:r>
      </w:hyperlink>
    </w:p>
    <w:p w14:paraId="1ADEC0B1"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Husserl, E. (1970). </w:t>
      </w:r>
      <w:r w:rsidRPr="008310AB">
        <w:rPr>
          <w:i/>
          <w:iCs/>
          <w:szCs w:val="16"/>
          <w:lang w:val="en-ID"/>
        </w:rPr>
        <w:t>The crisis of European sciences and transcendental phenomenology</w:t>
      </w:r>
      <w:r w:rsidRPr="008310AB">
        <w:rPr>
          <w:szCs w:val="16"/>
          <w:lang w:val="en-ID"/>
        </w:rPr>
        <w:t xml:space="preserve">. </w:t>
      </w:r>
      <w:proofErr w:type="spellStart"/>
      <w:r w:rsidRPr="008310AB">
        <w:rPr>
          <w:szCs w:val="16"/>
          <w:lang w:val="en-ID"/>
        </w:rPr>
        <w:t>Northwestern</w:t>
      </w:r>
      <w:proofErr w:type="spellEnd"/>
      <w:r w:rsidRPr="008310AB">
        <w:rPr>
          <w:szCs w:val="16"/>
          <w:lang w:val="en-ID"/>
        </w:rPr>
        <w:t xml:space="preserve"> University Press.</w:t>
      </w:r>
    </w:p>
    <w:p w14:paraId="6E9318CB"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Joviando</w:t>
      </w:r>
      <w:proofErr w:type="spellEnd"/>
      <w:r w:rsidRPr="008310AB">
        <w:rPr>
          <w:szCs w:val="16"/>
          <w:lang w:val="en-ID"/>
        </w:rPr>
        <w:t xml:space="preserve">, M., &amp; </w:t>
      </w:r>
      <w:proofErr w:type="spellStart"/>
      <w:r w:rsidRPr="008310AB">
        <w:rPr>
          <w:szCs w:val="16"/>
          <w:lang w:val="en-ID"/>
        </w:rPr>
        <w:t>Kurniawati</w:t>
      </w:r>
      <w:proofErr w:type="spellEnd"/>
      <w:r w:rsidRPr="008310AB">
        <w:rPr>
          <w:szCs w:val="16"/>
          <w:lang w:val="en-ID"/>
        </w:rPr>
        <w:t xml:space="preserve">, N. (2022). The effects of overall service quality, customer value, customer trust, and customer satisfaction on customer loyalty in the hotel industry. </w:t>
      </w:r>
      <w:proofErr w:type="spellStart"/>
      <w:r w:rsidRPr="008310AB">
        <w:rPr>
          <w:i/>
          <w:iCs/>
          <w:szCs w:val="16"/>
          <w:lang w:val="en-ID"/>
        </w:rPr>
        <w:t>Jurnal</w:t>
      </w:r>
      <w:proofErr w:type="spellEnd"/>
      <w:r w:rsidRPr="008310AB">
        <w:rPr>
          <w:i/>
          <w:iCs/>
          <w:szCs w:val="16"/>
          <w:lang w:val="en-ID"/>
        </w:rPr>
        <w:t xml:space="preserve"> </w:t>
      </w:r>
      <w:proofErr w:type="spellStart"/>
      <w:r w:rsidRPr="008310AB">
        <w:rPr>
          <w:i/>
          <w:iCs/>
          <w:szCs w:val="16"/>
          <w:lang w:val="en-ID"/>
        </w:rPr>
        <w:t>Ekonomi</w:t>
      </w:r>
      <w:proofErr w:type="spellEnd"/>
      <w:r w:rsidRPr="008310AB">
        <w:rPr>
          <w:i/>
          <w:iCs/>
          <w:szCs w:val="16"/>
          <w:lang w:val="en-ID"/>
        </w:rPr>
        <w:t xml:space="preserve"> dan </w:t>
      </w:r>
      <w:proofErr w:type="spellStart"/>
      <w:r w:rsidRPr="008310AB">
        <w:rPr>
          <w:i/>
          <w:iCs/>
          <w:szCs w:val="16"/>
          <w:lang w:val="en-ID"/>
        </w:rPr>
        <w:t>Bisnis</w:t>
      </w:r>
      <w:proofErr w:type="spellEnd"/>
      <w:r w:rsidRPr="008310AB">
        <w:rPr>
          <w:i/>
          <w:iCs/>
          <w:szCs w:val="16"/>
          <w:lang w:val="en-ID"/>
        </w:rPr>
        <w:t>, 7</w:t>
      </w:r>
      <w:r w:rsidRPr="008310AB">
        <w:rPr>
          <w:szCs w:val="16"/>
          <w:lang w:val="en-ID"/>
        </w:rPr>
        <w:t>(2), 45–56.</w:t>
      </w:r>
    </w:p>
    <w:p w14:paraId="1C2B236D"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Kim, H., &amp; Kim, Y. (2009). A CRM performance measurement framework. </w:t>
      </w:r>
      <w:r w:rsidRPr="008310AB">
        <w:rPr>
          <w:i/>
          <w:iCs/>
          <w:szCs w:val="16"/>
          <w:lang w:val="en-ID"/>
        </w:rPr>
        <w:t>Journal of Marketing, 73</w:t>
      </w:r>
      <w:r w:rsidRPr="008310AB">
        <w:rPr>
          <w:szCs w:val="16"/>
          <w:lang w:val="en-ID"/>
        </w:rPr>
        <w:t xml:space="preserve">(4), 52–64. </w:t>
      </w:r>
      <w:hyperlink r:id="rId21" w:tgtFrame="_new" w:history="1">
        <w:r w:rsidRPr="008310AB">
          <w:rPr>
            <w:rStyle w:val="Hyperlink"/>
            <w:szCs w:val="16"/>
            <w:lang w:val="en-ID"/>
          </w:rPr>
          <w:t>https://doi.org/10.1509/jmkg.73.4.52</w:t>
        </w:r>
      </w:hyperlink>
    </w:p>
    <w:p w14:paraId="3DFAD3DB"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Kotler, P., &amp; Keller, K. L. (2016). </w:t>
      </w:r>
      <w:r w:rsidRPr="008310AB">
        <w:rPr>
          <w:i/>
          <w:iCs/>
          <w:szCs w:val="16"/>
          <w:lang w:val="en-ID"/>
        </w:rPr>
        <w:t>Marketing management</w:t>
      </w:r>
      <w:r w:rsidRPr="008310AB">
        <w:rPr>
          <w:szCs w:val="16"/>
          <w:lang w:val="en-ID"/>
        </w:rPr>
        <w:t xml:space="preserve"> (15th ed.). Pearson Education.</w:t>
      </w:r>
    </w:p>
    <w:p w14:paraId="5A9E486E"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Kvale</w:t>
      </w:r>
      <w:proofErr w:type="spellEnd"/>
      <w:r w:rsidRPr="008310AB">
        <w:rPr>
          <w:szCs w:val="16"/>
          <w:lang w:val="en-ID"/>
        </w:rPr>
        <w:t xml:space="preserve">, S. (1996). </w:t>
      </w:r>
      <w:r w:rsidRPr="008310AB">
        <w:rPr>
          <w:i/>
          <w:iCs/>
          <w:szCs w:val="16"/>
          <w:lang w:val="en-ID"/>
        </w:rPr>
        <w:t>Interviews: An introduction to qualitative research interviewing</w:t>
      </w:r>
      <w:r w:rsidRPr="008310AB">
        <w:rPr>
          <w:szCs w:val="16"/>
          <w:lang w:val="en-ID"/>
        </w:rPr>
        <w:t>. Sage Publications.</w:t>
      </w:r>
    </w:p>
    <w:p w14:paraId="054D95EE" w14:textId="18C1144D"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Lee, Y., &amp; Hwan, H. (2019). Service quality and parental satisfaction in elementary schools. </w:t>
      </w:r>
      <w:r w:rsidRPr="008310AB">
        <w:rPr>
          <w:i/>
          <w:iCs/>
          <w:szCs w:val="16"/>
          <w:lang w:val="en-ID"/>
        </w:rPr>
        <w:t>Taiwan Journal of Education,45</w:t>
      </w:r>
      <w:r w:rsidRPr="008310AB">
        <w:rPr>
          <w:szCs w:val="16"/>
          <w:lang w:val="en-ID"/>
        </w:rPr>
        <w:t>(1),77–95.</w:t>
      </w:r>
    </w:p>
    <w:p w14:paraId="0C7D8981"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Ling, C., &amp; Yen, L. (2021). Relationship marketing and service quality in private schools. </w:t>
      </w:r>
      <w:r w:rsidRPr="008310AB">
        <w:rPr>
          <w:i/>
          <w:iCs/>
          <w:szCs w:val="16"/>
          <w:lang w:val="en-ID"/>
        </w:rPr>
        <w:t>International Journal of Educational Management, 35</w:t>
      </w:r>
      <w:r w:rsidRPr="008310AB">
        <w:rPr>
          <w:szCs w:val="16"/>
          <w:lang w:val="en-ID"/>
        </w:rPr>
        <w:t xml:space="preserve">(4), 623–640. </w:t>
      </w:r>
      <w:hyperlink r:id="rId22" w:tgtFrame="_new" w:history="1">
        <w:r w:rsidRPr="008310AB">
          <w:rPr>
            <w:rStyle w:val="Hyperlink"/>
            <w:szCs w:val="16"/>
            <w:lang w:val="en-ID"/>
          </w:rPr>
          <w:t>https://doi.org/10.1108/IJEM-10-2020-0472</w:t>
        </w:r>
      </w:hyperlink>
    </w:p>
    <w:p w14:paraId="4710DCA0"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Lincoln, Y. S., &amp; Guba, E. G. (1985). </w:t>
      </w:r>
      <w:r w:rsidRPr="008310AB">
        <w:rPr>
          <w:i/>
          <w:iCs/>
          <w:szCs w:val="16"/>
          <w:lang w:val="en-ID"/>
        </w:rPr>
        <w:t>Naturalistic inquiry</w:t>
      </w:r>
      <w:r w:rsidRPr="008310AB">
        <w:rPr>
          <w:szCs w:val="16"/>
          <w:lang w:val="en-ID"/>
        </w:rPr>
        <w:t>. Sage Publications.</w:t>
      </w:r>
    </w:p>
    <w:p w14:paraId="6CECB9E4"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Lincoln, Y. S., &amp; Guba, E. G. (2020). </w:t>
      </w:r>
      <w:r w:rsidRPr="008310AB">
        <w:rPr>
          <w:i/>
          <w:iCs/>
          <w:szCs w:val="16"/>
          <w:lang w:val="en-ID"/>
        </w:rPr>
        <w:t>The constructivist credo</w:t>
      </w:r>
      <w:r w:rsidRPr="008310AB">
        <w:rPr>
          <w:szCs w:val="16"/>
          <w:lang w:val="en-ID"/>
        </w:rPr>
        <w:t>. Left Coast Press.</w:t>
      </w:r>
    </w:p>
    <w:p w14:paraId="50A462E1"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Lovelock, C., &amp; Wirtz, J. (2017). </w:t>
      </w:r>
      <w:r w:rsidRPr="008310AB">
        <w:rPr>
          <w:i/>
          <w:iCs/>
          <w:szCs w:val="16"/>
          <w:lang w:val="en-ID"/>
        </w:rPr>
        <w:t>Services marketing: People, technology, strategy</w:t>
      </w:r>
      <w:r w:rsidRPr="008310AB">
        <w:rPr>
          <w:szCs w:val="16"/>
          <w:lang w:val="en-ID"/>
        </w:rPr>
        <w:t>. Pearson.</w:t>
      </w:r>
    </w:p>
    <w:p w14:paraId="4D721FBD"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Miles, M. B., Huberman, A. M., &amp; </w:t>
      </w:r>
      <w:proofErr w:type="spellStart"/>
      <w:r w:rsidRPr="008310AB">
        <w:rPr>
          <w:szCs w:val="16"/>
          <w:lang w:val="en-ID"/>
        </w:rPr>
        <w:t>Saldaña</w:t>
      </w:r>
      <w:proofErr w:type="spellEnd"/>
      <w:r w:rsidRPr="008310AB">
        <w:rPr>
          <w:szCs w:val="16"/>
          <w:lang w:val="en-ID"/>
        </w:rPr>
        <w:t xml:space="preserve">, J. (2014). </w:t>
      </w:r>
      <w:r w:rsidRPr="008310AB">
        <w:rPr>
          <w:i/>
          <w:iCs/>
          <w:szCs w:val="16"/>
          <w:lang w:val="en-ID"/>
        </w:rPr>
        <w:t>Qualitative data analysis: A methods sourcebook</w:t>
      </w:r>
      <w:r w:rsidRPr="008310AB">
        <w:rPr>
          <w:szCs w:val="16"/>
          <w:lang w:val="en-ID"/>
        </w:rPr>
        <w:t xml:space="preserve"> (3rd ed.). Sage Publications.</w:t>
      </w:r>
    </w:p>
    <w:p w14:paraId="2E3872DF"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Moleong</w:t>
      </w:r>
      <w:proofErr w:type="spellEnd"/>
      <w:r w:rsidRPr="008310AB">
        <w:rPr>
          <w:szCs w:val="16"/>
          <w:lang w:val="en-ID"/>
        </w:rPr>
        <w:t xml:space="preserve">, L. J. (2017). </w:t>
      </w:r>
      <w:proofErr w:type="spellStart"/>
      <w:r w:rsidRPr="008310AB">
        <w:rPr>
          <w:i/>
          <w:iCs/>
          <w:szCs w:val="16"/>
          <w:lang w:val="en-ID"/>
        </w:rPr>
        <w:t>Metodologi</w:t>
      </w:r>
      <w:proofErr w:type="spellEnd"/>
      <w:r w:rsidRPr="008310AB">
        <w:rPr>
          <w:i/>
          <w:iCs/>
          <w:szCs w:val="16"/>
          <w:lang w:val="en-ID"/>
        </w:rPr>
        <w:t xml:space="preserve"> </w:t>
      </w:r>
      <w:proofErr w:type="spellStart"/>
      <w:r w:rsidRPr="008310AB">
        <w:rPr>
          <w:i/>
          <w:iCs/>
          <w:szCs w:val="16"/>
          <w:lang w:val="en-ID"/>
        </w:rPr>
        <w:t>penelitian</w:t>
      </w:r>
      <w:proofErr w:type="spellEnd"/>
      <w:r w:rsidRPr="008310AB">
        <w:rPr>
          <w:i/>
          <w:iCs/>
          <w:szCs w:val="16"/>
          <w:lang w:val="en-ID"/>
        </w:rPr>
        <w:t xml:space="preserve"> </w:t>
      </w:r>
      <w:proofErr w:type="spellStart"/>
      <w:r w:rsidRPr="008310AB">
        <w:rPr>
          <w:i/>
          <w:iCs/>
          <w:szCs w:val="16"/>
          <w:lang w:val="en-ID"/>
        </w:rPr>
        <w:t>kualitatif</w:t>
      </w:r>
      <w:proofErr w:type="spellEnd"/>
      <w:r w:rsidRPr="008310AB">
        <w:rPr>
          <w:szCs w:val="16"/>
          <w:lang w:val="en-ID"/>
        </w:rPr>
        <w:t xml:space="preserve">. </w:t>
      </w:r>
      <w:proofErr w:type="spellStart"/>
      <w:r w:rsidRPr="008310AB">
        <w:rPr>
          <w:szCs w:val="16"/>
          <w:lang w:val="en-ID"/>
        </w:rPr>
        <w:t>Remaja</w:t>
      </w:r>
      <w:proofErr w:type="spellEnd"/>
      <w:r w:rsidRPr="008310AB">
        <w:rPr>
          <w:szCs w:val="16"/>
          <w:lang w:val="en-ID"/>
        </w:rPr>
        <w:t xml:space="preserve"> </w:t>
      </w:r>
      <w:proofErr w:type="spellStart"/>
      <w:r w:rsidRPr="008310AB">
        <w:rPr>
          <w:szCs w:val="16"/>
          <w:lang w:val="en-ID"/>
        </w:rPr>
        <w:t>Rosdakarya</w:t>
      </w:r>
      <w:proofErr w:type="spellEnd"/>
      <w:r w:rsidRPr="008310AB">
        <w:rPr>
          <w:szCs w:val="16"/>
          <w:lang w:val="en-ID"/>
        </w:rPr>
        <w:t>.</w:t>
      </w:r>
    </w:p>
    <w:p w14:paraId="469BAD5A"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Nguyen, B., </w:t>
      </w:r>
      <w:proofErr w:type="spellStart"/>
      <w:r w:rsidRPr="008310AB">
        <w:rPr>
          <w:szCs w:val="16"/>
          <w:lang w:val="en-ID"/>
        </w:rPr>
        <w:t>Mutum</w:t>
      </w:r>
      <w:proofErr w:type="spellEnd"/>
      <w:r w:rsidRPr="008310AB">
        <w:rPr>
          <w:szCs w:val="16"/>
          <w:lang w:val="en-ID"/>
        </w:rPr>
        <w:t xml:space="preserve">, D. S., &amp; Ghazali, E. (2020). Customer relationship management in education: A systematic review. </w:t>
      </w:r>
      <w:r w:rsidRPr="008310AB">
        <w:rPr>
          <w:i/>
          <w:iCs/>
          <w:szCs w:val="16"/>
          <w:lang w:val="en-ID"/>
        </w:rPr>
        <w:t>International Journal of Educational Management, 34</w:t>
      </w:r>
      <w:r w:rsidRPr="008310AB">
        <w:rPr>
          <w:szCs w:val="16"/>
          <w:lang w:val="en-ID"/>
        </w:rPr>
        <w:t xml:space="preserve">(5), 823–843. </w:t>
      </w:r>
      <w:hyperlink r:id="rId23" w:tgtFrame="_new" w:history="1">
        <w:r w:rsidRPr="008310AB">
          <w:rPr>
            <w:rStyle w:val="Hyperlink"/>
            <w:szCs w:val="16"/>
            <w:lang w:val="en-ID"/>
          </w:rPr>
          <w:t>https://doi.org/10.1108/IJEM-02-2019-0063</w:t>
        </w:r>
      </w:hyperlink>
    </w:p>
    <w:p w14:paraId="5D563574"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Oliver, R. L. (2010). </w:t>
      </w:r>
      <w:r w:rsidRPr="008310AB">
        <w:rPr>
          <w:i/>
          <w:iCs/>
          <w:szCs w:val="16"/>
          <w:lang w:val="en-ID"/>
        </w:rPr>
        <w:t xml:space="preserve">Satisfaction: A </w:t>
      </w:r>
      <w:proofErr w:type="spellStart"/>
      <w:r w:rsidRPr="008310AB">
        <w:rPr>
          <w:i/>
          <w:iCs/>
          <w:szCs w:val="16"/>
          <w:lang w:val="en-ID"/>
        </w:rPr>
        <w:t>behavioral</w:t>
      </w:r>
      <w:proofErr w:type="spellEnd"/>
      <w:r w:rsidRPr="008310AB">
        <w:rPr>
          <w:i/>
          <w:iCs/>
          <w:szCs w:val="16"/>
          <w:lang w:val="en-ID"/>
        </w:rPr>
        <w:t xml:space="preserve"> perspective on the consumer</w:t>
      </w:r>
      <w:r w:rsidRPr="008310AB">
        <w:rPr>
          <w:szCs w:val="16"/>
          <w:lang w:val="en-ID"/>
        </w:rPr>
        <w:t>. Routledge.</w:t>
      </w:r>
    </w:p>
    <w:p w14:paraId="4F4D8239"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Owusu, G. M. Y., &amp; </w:t>
      </w:r>
      <w:proofErr w:type="spellStart"/>
      <w:r w:rsidRPr="008310AB">
        <w:rPr>
          <w:szCs w:val="16"/>
          <w:lang w:val="en-ID"/>
        </w:rPr>
        <w:t>Poku</w:t>
      </w:r>
      <w:proofErr w:type="spellEnd"/>
      <w:r w:rsidRPr="008310AB">
        <w:rPr>
          <w:szCs w:val="16"/>
          <w:lang w:val="en-ID"/>
        </w:rPr>
        <w:t xml:space="preserve">, K. (2012). Service quality and student satisfaction. </w:t>
      </w:r>
      <w:r w:rsidRPr="008310AB">
        <w:rPr>
          <w:i/>
          <w:iCs/>
          <w:szCs w:val="16"/>
          <w:lang w:val="en-ID"/>
        </w:rPr>
        <w:t>Journal of Educational Management, 6</w:t>
      </w:r>
      <w:r w:rsidRPr="008310AB">
        <w:rPr>
          <w:szCs w:val="16"/>
          <w:lang w:val="en-ID"/>
        </w:rPr>
        <w:t>(1), 1–15.</w:t>
      </w:r>
    </w:p>
    <w:p w14:paraId="6B89B1CD"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Parasuraman, A., Zeithaml, V. A., &amp; Berry, L. L. (1985). A conceptual model of service quality and its implications for future research. </w:t>
      </w:r>
      <w:r w:rsidRPr="008310AB">
        <w:rPr>
          <w:i/>
          <w:iCs/>
          <w:szCs w:val="16"/>
          <w:lang w:val="en-ID"/>
        </w:rPr>
        <w:t>Journal of Marketing, 49</w:t>
      </w:r>
      <w:r w:rsidRPr="008310AB">
        <w:rPr>
          <w:szCs w:val="16"/>
          <w:lang w:val="en-ID"/>
        </w:rPr>
        <w:t>(4), 41–50.</w:t>
      </w:r>
    </w:p>
    <w:p w14:paraId="1C76F14C"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Parasuraman, A., Zeithaml, V. A., &amp; Berry, L. L. (1988). SERVQUAL: A multiple-item scale for measuring consumer perceptions of service quality. </w:t>
      </w:r>
      <w:r w:rsidRPr="008310AB">
        <w:rPr>
          <w:i/>
          <w:iCs/>
          <w:szCs w:val="16"/>
          <w:lang w:val="en-ID"/>
        </w:rPr>
        <w:t>Journal of Retailing, 64</w:t>
      </w:r>
      <w:r w:rsidRPr="008310AB">
        <w:rPr>
          <w:szCs w:val="16"/>
          <w:lang w:val="en-ID"/>
        </w:rPr>
        <w:t>(1), 12–40.</w:t>
      </w:r>
    </w:p>
    <w:p w14:paraId="1A13B2C6"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Payne, A., &amp; Frow, P. (2005). A strategic framework for customer relationship management. </w:t>
      </w:r>
      <w:r w:rsidRPr="008310AB">
        <w:rPr>
          <w:i/>
          <w:iCs/>
          <w:szCs w:val="16"/>
          <w:lang w:val="en-ID"/>
        </w:rPr>
        <w:t>Journal of Marketing, 69</w:t>
      </w:r>
      <w:r w:rsidRPr="008310AB">
        <w:rPr>
          <w:szCs w:val="16"/>
          <w:lang w:val="en-ID"/>
        </w:rPr>
        <w:t>(4), 167–176.</w:t>
      </w:r>
    </w:p>
    <w:p w14:paraId="00BE1852"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Rachman</w:t>
      </w:r>
      <w:proofErr w:type="spellEnd"/>
      <w:r w:rsidRPr="008310AB">
        <w:rPr>
          <w:szCs w:val="16"/>
          <w:lang w:val="en-ID"/>
        </w:rPr>
        <w:t xml:space="preserve">, Z., Putra, S. A., </w:t>
      </w:r>
      <w:proofErr w:type="spellStart"/>
      <w:r w:rsidRPr="008310AB">
        <w:rPr>
          <w:szCs w:val="16"/>
          <w:lang w:val="en-ID"/>
        </w:rPr>
        <w:t>Herdiyanto</w:t>
      </w:r>
      <w:proofErr w:type="spellEnd"/>
      <w:r w:rsidRPr="008310AB">
        <w:rPr>
          <w:szCs w:val="16"/>
          <w:lang w:val="en-ID"/>
        </w:rPr>
        <w:t xml:space="preserve">, R., &amp; </w:t>
      </w:r>
      <w:proofErr w:type="spellStart"/>
      <w:r w:rsidRPr="008310AB">
        <w:rPr>
          <w:szCs w:val="16"/>
          <w:lang w:val="en-ID"/>
        </w:rPr>
        <w:t>Pratiwi</w:t>
      </w:r>
      <w:proofErr w:type="spellEnd"/>
      <w:r w:rsidRPr="008310AB">
        <w:rPr>
          <w:szCs w:val="16"/>
          <w:lang w:val="en-ID"/>
        </w:rPr>
        <w:t xml:space="preserve">, A. L. (2023). Customer relationship management and customer loyalty. </w:t>
      </w:r>
      <w:proofErr w:type="spellStart"/>
      <w:r w:rsidRPr="008310AB">
        <w:rPr>
          <w:i/>
          <w:iCs/>
          <w:szCs w:val="16"/>
          <w:lang w:val="en-ID"/>
        </w:rPr>
        <w:t>Djtechno</w:t>
      </w:r>
      <w:proofErr w:type="spellEnd"/>
      <w:r w:rsidRPr="008310AB">
        <w:rPr>
          <w:i/>
          <w:iCs/>
          <w:szCs w:val="16"/>
          <w:lang w:val="en-ID"/>
        </w:rPr>
        <w:t xml:space="preserve">: </w:t>
      </w:r>
      <w:proofErr w:type="spellStart"/>
      <w:r w:rsidRPr="008310AB">
        <w:rPr>
          <w:i/>
          <w:iCs/>
          <w:szCs w:val="16"/>
          <w:lang w:val="en-ID"/>
        </w:rPr>
        <w:t>Jurnal</w:t>
      </w:r>
      <w:proofErr w:type="spellEnd"/>
      <w:r w:rsidRPr="008310AB">
        <w:rPr>
          <w:i/>
          <w:iCs/>
          <w:szCs w:val="16"/>
          <w:lang w:val="en-ID"/>
        </w:rPr>
        <w:t xml:space="preserve"> </w:t>
      </w:r>
      <w:proofErr w:type="spellStart"/>
      <w:r w:rsidRPr="008310AB">
        <w:rPr>
          <w:i/>
          <w:iCs/>
          <w:szCs w:val="16"/>
          <w:lang w:val="en-ID"/>
        </w:rPr>
        <w:t>Teknologi</w:t>
      </w:r>
      <w:proofErr w:type="spellEnd"/>
      <w:r w:rsidRPr="008310AB">
        <w:rPr>
          <w:i/>
          <w:iCs/>
          <w:szCs w:val="16"/>
          <w:lang w:val="en-ID"/>
        </w:rPr>
        <w:t xml:space="preserve"> </w:t>
      </w:r>
      <w:proofErr w:type="spellStart"/>
      <w:r w:rsidRPr="008310AB">
        <w:rPr>
          <w:i/>
          <w:iCs/>
          <w:szCs w:val="16"/>
          <w:lang w:val="en-ID"/>
        </w:rPr>
        <w:t>Informasi</w:t>
      </w:r>
      <w:proofErr w:type="spellEnd"/>
      <w:r w:rsidRPr="008310AB">
        <w:rPr>
          <w:i/>
          <w:iCs/>
          <w:szCs w:val="16"/>
          <w:lang w:val="en-ID"/>
        </w:rPr>
        <w:t>, 4</w:t>
      </w:r>
      <w:r w:rsidRPr="008310AB">
        <w:rPr>
          <w:szCs w:val="16"/>
          <w:lang w:val="en-ID"/>
        </w:rPr>
        <w:t>(2), 310–330.</w:t>
      </w:r>
    </w:p>
    <w:p w14:paraId="17B7B2B8"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Raman, P., Aashish, K., &amp; Murti, A. (2022). The role of CRM and service quality in customer retention. </w:t>
      </w:r>
      <w:r w:rsidRPr="008310AB">
        <w:rPr>
          <w:i/>
          <w:iCs/>
          <w:szCs w:val="16"/>
          <w:lang w:val="en-ID"/>
        </w:rPr>
        <w:t>Journal of Relationship Marketing, 21</w:t>
      </w:r>
      <w:r w:rsidRPr="008310AB">
        <w:rPr>
          <w:szCs w:val="16"/>
          <w:lang w:val="en-ID"/>
        </w:rPr>
        <w:t>(2), 123–145.</w:t>
      </w:r>
    </w:p>
    <w:p w14:paraId="7D5007C5"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Rizaldi</w:t>
      </w:r>
      <w:proofErr w:type="spellEnd"/>
      <w:r w:rsidRPr="008310AB">
        <w:rPr>
          <w:szCs w:val="16"/>
          <w:lang w:val="en-ID"/>
        </w:rPr>
        <w:t xml:space="preserve">, M. L., &amp; </w:t>
      </w:r>
      <w:proofErr w:type="spellStart"/>
      <w:r w:rsidRPr="008310AB">
        <w:rPr>
          <w:szCs w:val="16"/>
          <w:lang w:val="en-ID"/>
        </w:rPr>
        <w:t>Hardini</w:t>
      </w:r>
      <w:proofErr w:type="spellEnd"/>
      <w:r w:rsidRPr="008310AB">
        <w:rPr>
          <w:szCs w:val="16"/>
          <w:lang w:val="en-ID"/>
        </w:rPr>
        <w:t xml:space="preserve">, R. (2019). Service quality, brand image dan CRM </w:t>
      </w:r>
      <w:proofErr w:type="spellStart"/>
      <w:r w:rsidRPr="008310AB">
        <w:rPr>
          <w:szCs w:val="16"/>
          <w:lang w:val="en-ID"/>
        </w:rPr>
        <w:t>terhadap</w:t>
      </w:r>
      <w:proofErr w:type="spellEnd"/>
      <w:r w:rsidRPr="008310AB">
        <w:rPr>
          <w:szCs w:val="16"/>
          <w:lang w:val="en-ID"/>
        </w:rPr>
        <w:t xml:space="preserve"> </w:t>
      </w:r>
      <w:proofErr w:type="spellStart"/>
      <w:r w:rsidRPr="008310AB">
        <w:rPr>
          <w:szCs w:val="16"/>
          <w:lang w:val="en-ID"/>
        </w:rPr>
        <w:t>loyalitas</w:t>
      </w:r>
      <w:proofErr w:type="spellEnd"/>
      <w:r w:rsidRPr="008310AB">
        <w:rPr>
          <w:szCs w:val="16"/>
          <w:lang w:val="en-ID"/>
        </w:rPr>
        <w:t xml:space="preserve">. </w:t>
      </w:r>
      <w:proofErr w:type="spellStart"/>
      <w:r w:rsidRPr="008310AB">
        <w:rPr>
          <w:i/>
          <w:iCs/>
          <w:szCs w:val="16"/>
          <w:lang w:val="en-ID"/>
        </w:rPr>
        <w:t>Oikonomia</w:t>
      </w:r>
      <w:proofErr w:type="spellEnd"/>
      <w:r w:rsidRPr="008310AB">
        <w:rPr>
          <w:i/>
          <w:iCs/>
          <w:szCs w:val="16"/>
          <w:lang w:val="en-ID"/>
        </w:rPr>
        <w:t>, 14</w:t>
      </w:r>
      <w:r w:rsidRPr="008310AB">
        <w:rPr>
          <w:szCs w:val="16"/>
          <w:lang w:val="en-ID"/>
        </w:rPr>
        <w:t>(2), 77–94.</w:t>
      </w:r>
    </w:p>
    <w:p w14:paraId="02470E7D"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Sari, N., &amp; </w:t>
      </w:r>
      <w:proofErr w:type="spellStart"/>
      <w:r w:rsidRPr="008310AB">
        <w:rPr>
          <w:szCs w:val="16"/>
          <w:lang w:val="en-ID"/>
        </w:rPr>
        <w:t>Pratama</w:t>
      </w:r>
      <w:proofErr w:type="spellEnd"/>
      <w:r w:rsidRPr="008310AB">
        <w:rPr>
          <w:szCs w:val="16"/>
          <w:lang w:val="en-ID"/>
        </w:rPr>
        <w:t xml:space="preserve">, D. (2021). Service quality and parental satisfaction in Islamic schools. </w:t>
      </w:r>
      <w:proofErr w:type="spellStart"/>
      <w:r w:rsidRPr="008310AB">
        <w:rPr>
          <w:i/>
          <w:iCs/>
          <w:szCs w:val="16"/>
          <w:lang w:val="en-ID"/>
        </w:rPr>
        <w:t>Jurnal</w:t>
      </w:r>
      <w:proofErr w:type="spellEnd"/>
      <w:r w:rsidRPr="008310AB">
        <w:rPr>
          <w:i/>
          <w:iCs/>
          <w:szCs w:val="16"/>
          <w:lang w:val="en-ID"/>
        </w:rPr>
        <w:t xml:space="preserve"> Pendidikan Islam, 3</w:t>
      </w:r>
      <w:r w:rsidRPr="008310AB">
        <w:rPr>
          <w:szCs w:val="16"/>
          <w:lang w:val="en-ID"/>
        </w:rPr>
        <w:t>(2), 55–70.</w:t>
      </w:r>
    </w:p>
    <w:p w14:paraId="7B037B4B"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Setiawan, R., &amp; </w:t>
      </w:r>
      <w:proofErr w:type="spellStart"/>
      <w:r w:rsidRPr="008310AB">
        <w:rPr>
          <w:szCs w:val="16"/>
          <w:lang w:val="en-ID"/>
        </w:rPr>
        <w:t>Hidayat</w:t>
      </w:r>
      <w:proofErr w:type="spellEnd"/>
      <w:r w:rsidRPr="008310AB">
        <w:rPr>
          <w:szCs w:val="16"/>
          <w:lang w:val="en-ID"/>
        </w:rPr>
        <w:t xml:space="preserve">, F. (2020). Service quality and school reputation. </w:t>
      </w:r>
      <w:proofErr w:type="spellStart"/>
      <w:r w:rsidRPr="008310AB">
        <w:rPr>
          <w:i/>
          <w:iCs/>
          <w:szCs w:val="16"/>
          <w:lang w:val="en-ID"/>
        </w:rPr>
        <w:t>Jurnal</w:t>
      </w:r>
      <w:proofErr w:type="spellEnd"/>
      <w:r w:rsidRPr="008310AB">
        <w:rPr>
          <w:i/>
          <w:iCs/>
          <w:szCs w:val="16"/>
          <w:lang w:val="en-ID"/>
        </w:rPr>
        <w:t xml:space="preserve"> </w:t>
      </w:r>
      <w:proofErr w:type="spellStart"/>
      <w:r w:rsidRPr="008310AB">
        <w:rPr>
          <w:i/>
          <w:iCs/>
          <w:szCs w:val="16"/>
          <w:lang w:val="en-ID"/>
        </w:rPr>
        <w:t>Manajemen</w:t>
      </w:r>
      <w:proofErr w:type="spellEnd"/>
      <w:r w:rsidRPr="008310AB">
        <w:rPr>
          <w:i/>
          <w:iCs/>
          <w:szCs w:val="16"/>
          <w:lang w:val="en-ID"/>
        </w:rPr>
        <w:t xml:space="preserve"> Pendidikan, 11</w:t>
      </w:r>
      <w:r w:rsidRPr="008310AB">
        <w:rPr>
          <w:szCs w:val="16"/>
          <w:lang w:val="en-ID"/>
        </w:rPr>
        <w:t>(1), 18–29.</w:t>
      </w:r>
    </w:p>
    <w:p w14:paraId="4F9DDAB1"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Suhartanto</w:t>
      </w:r>
      <w:proofErr w:type="spellEnd"/>
      <w:r w:rsidRPr="008310AB">
        <w:rPr>
          <w:szCs w:val="16"/>
          <w:lang w:val="en-ID"/>
        </w:rPr>
        <w:t xml:space="preserve">, D. (2016). Customer satisfaction and loyalty in the hotel industry. </w:t>
      </w:r>
      <w:proofErr w:type="spellStart"/>
      <w:r w:rsidRPr="008310AB">
        <w:rPr>
          <w:i/>
          <w:iCs/>
          <w:szCs w:val="16"/>
          <w:lang w:val="en-ID"/>
        </w:rPr>
        <w:t>Asia</w:t>
      </w:r>
      <w:proofErr w:type="spellEnd"/>
      <w:r w:rsidRPr="008310AB">
        <w:rPr>
          <w:i/>
          <w:iCs/>
          <w:szCs w:val="16"/>
          <w:lang w:val="en-ID"/>
        </w:rPr>
        <w:t xml:space="preserve"> Pacific Journal of Tourism Research, 21</w:t>
      </w:r>
      <w:r w:rsidRPr="008310AB">
        <w:rPr>
          <w:szCs w:val="16"/>
          <w:lang w:val="en-ID"/>
        </w:rPr>
        <w:t>(12), 1315–1328.</w:t>
      </w:r>
    </w:p>
    <w:p w14:paraId="75DB9F2D"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Sugiyono</w:t>
      </w:r>
      <w:proofErr w:type="spellEnd"/>
      <w:r w:rsidRPr="008310AB">
        <w:rPr>
          <w:szCs w:val="16"/>
          <w:lang w:val="en-ID"/>
        </w:rPr>
        <w:t xml:space="preserve">. (2019). </w:t>
      </w:r>
      <w:proofErr w:type="spellStart"/>
      <w:r w:rsidRPr="008310AB">
        <w:rPr>
          <w:i/>
          <w:iCs/>
          <w:szCs w:val="16"/>
          <w:lang w:val="en-ID"/>
        </w:rPr>
        <w:t>Metode</w:t>
      </w:r>
      <w:proofErr w:type="spellEnd"/>
      <w:r w:rsidRPr="008310AB">
        <w:rPr>
          <w:i/>
          <w:iCs/>
          <w:szCs w:val="16"/>
          <w:lang w:val="en-ID"/>
        </w:rPr>
        <w:t xml:space="preserve"> </w:t>
      </w:r>
      <w:proofErr w:type="spellStart"/>
      <w:r w:rsidRPr="008310AB">
        <w:rPr>
          <w:i/>
          <w:iCs/>
          <w:szCs w:val="16"/>
          <w:lang w:val="en-ID"/>
        </w:rPr>
        <w:t>penelitian</w:t>
      </w:r>
      <w:proofErr w:type="spellEnd"/>
      <w:r w:rsidRPr="008310AB">
        <w:rPr>
          <w:i/>
          <w:iCs/>
          <w:szCs w:val="16"/>
          <w:lang w:val="en-ID"/>
        </w:rPr>
        <w:t xml:space="preserve"> </w:t>
      </w:r>
      <w:proofErr w:type="spellStart"/>
      <w:r w:rsidRPr="008310AB">
        <w:rPr>
          <w:i/>
          <w:iCs/>
          <w:szCs w:val="16"/>
          <w:lang w:val="en-ID"/>
        </w:rPr>
        <w:t>kuantitatif</w:t>
      </w:r>
      <w:proofErr w:type="spellEnd"/>
      <w:r w:rsidRPr="008310AB">
        <w:rPr>
          <w:i/>
          <w:iCs/>
          <w:szCs w:val="16"/>
          <w:lang w:val="en-ID"/>
        </w:rPr>
        <w:t xml:space="preserve">, </w:t>
      </w:r>
      <w:proofErr w:type="spellStart"/>
      <w:r w:rsidRPr="008310AB">
        <w:rPr>
          <w:i/>
          <w:iCs/>
          <w:szCs w:val="16"/>
          <w:lang w:val="en-ID"/>
        </w:rPr>
        <w:t>kualitatif</w:t>
      </w:r>
      <w:proofErr w:type="spellEnd"/>
      <w:r w:rsidRPr="008310AB">
        <w:rPr>
          <w:i/>
          <w:iCs/>
          <w:szCs w:val="16"/>
          <w:lang w:val="en-ID"/>
        </w:rPr>
        <w:t>, dan R&amp;D</w:t>
      </w:r>
      <w:r w:rsidRPr="008310AB">
        <w:rPr>
          <w:szCs w:val="16"/>
          <w:lang w:val="en-ID"/>
        </w:rPr>
        <w:t xml:space="preserve">. </w:t>
      </w:r>
      <w:proofErr w:type="spellStart"/>
      <w:r w:rsidRPr="008310AB">
        <w:rPr>
          <w:szCs w:val="16"/>
          <w:lang w:val="en-ID"/>
        </w:rPr>
        <w:t>Alfabeta</w:t>
      </w:r>
      <w:proofErr w:type="spellEnd"/>
      <w:r w:rsidRPr="008310AB">
        <w:rPr>
          <w:szCs w:val="16"/>
          <w:lang w:val="en-ID"/>
        </w:rPr>
        <w:t>.</w:t>
      </w:r>
    </w:p>
    <w:p w14:paraId="05766A40" w14:textId="77777777" w:rsidR="008B6FB5" w:rsidRPr="008310AB" w:rsidRDefault="008B6FB5" w:rsidP="008310AB">
      <w:pPr>
        <w:pStyle w:val="Rujukan"/>
        <w:numPr>
          <w:ilvl w:val="0"/>
          <w:numId w:val="11"/>
        </w:numPr>
        <w:ind w:left="426" w:hanging="426"/>
        <w:rPr>
          <w:szCs w:val="16"/>
          <w:lang w:val="en-ID"/>
        </w:rPr>
      </w:pPr>
      <w:proofErr w:type="spellStart"/>
      <w:r w:rsidRPr="008310AB">
        <w:rPr>
          <w:szCs w:val="16"/>
          <w:lang w:val="en-ID"/>
        </w:rPr>
        <w:t>Tse</w:t>
      </w:r>
      <w:proofErr w:type="spellEnd"/>
      <w:r w:rsidRPr="008310AB">
        <w:rPr>
          <w:szCs w:val="16"/>
          <w:lang w:val="en-ID"/>
        </w:rPr>
        <w:t xml:space="preserve">, D. K., &amp; Wilton, P. C. (1988). Models of consumer satisfaction formation. </w:t>
      </w:r>
      <w:r w:rsidRPr="008310AB">
        <w:rPr>
          <w:i/>
          <w:iCs/>
          <w:szCs w:val="16"/>
          <w:lang w:val="en-ID"/>
        </w:rPr>
        <w:t>Journal of Marketing Research, 25</w:t>
      </w:r>
      <w:r w:rsidRPr="008310AB">
        <w:rPr>
          <w:szCs w:val="16"/>
          <w:lang w:val="en-ID"/>
        </w:rPr>
        <w:t>(2), 204–212.</w:t>
      </w:r>
    </w:p>
    <w:p w14:paraId="2AD6D81E"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Van </w:t>
      </w:r>
      <w:proofErr w:type="spellStart"/>
      <w:r w:rsidRPr="008310AB">
        <w:rPr>
          <w:szCs w:val="16"/>
          <w:lang w:val="en-ID"/>
        </w:rPr>
        <w:t>Maanen</w:t>
      </w:r>
      <w:proofErr w:type="spellEnd"/>
      <w:r w:rsidRPr="008310AB">
        <w:rPr>
          <w:szCs w:val="16"/>
          <w:lang w:val="en-ID"/>
        </w:rPr>
        <w:t xml:space="preserve">, J. (2011). </w:t>
      </w:r>
      <w:r w:rsidRPr="008310AB">
        <w:rPr>
          <w:i/>
          <w:iCs/>
          <w:szCs w:val="16"/>
          <w:lang w:val="en-ID"/>
        </w:rPr>
        <w:t>Tales of the field: On writing ethnography</w:t>
      </w:r>
      <w:r w:rsidRPr="008310AB">
        <w:rPr>
          <w:szCs w:val="16"/>
          <w:lang w:val="en-ID"/>
        </w:rPr>
        <w:t>. University of Chicago Press.</w:t>
      </w:r>
    </w:p>
    <w:p w14:paraId="0F2DB997" w14:textId="77777777" w:rsidR="008B6FB5" w:rsidRPr="008310AB" w:rsidRDefault="008B6FB5" w:rsidP="008310AB">
      <w:pPr>
        <w:pStyle w:val="Rujukan"/>
        <w:numPr>
          <w:ilvl w:val="0"/>
          <w:numId w:val="11"/>
        </w:numPr>
        <w:ind w:left="426" w:hanging="426"/>
        <w:rPr>
          <w:szCs w:val="16"/>
          <w:lang w:val="en-ID"/>
        </w:rPr>
      </w:pPr>
      <w:r w:rsidRPr="008310AB">
        <w:rPr>
          <w:szCs w:val="16"/>
          <w:lang w:val="en-ID"/>
        </w:rPr>
        <w:t xml:space="preserve">Wijaya, T. (2005). The effect of loyalty programs on customer loyalty in the hospitality industry. </w:t>
      </w:r>
      <w:proofErr w:type="spellStart"/>
      <w:r w:rsidRPr="008310AB">
        <w:rPr>
          <w:i/>
          <w:iCs/>
          <w:szCs w:val="16"/>
          <w:lang w:val="en-ID"/>
        </w:rPr>
        <w:t>Jurnal</w:t>
      </w:r>
      <w:proofErr w:type="spellEnd"/>
      <w:r w:rsidRPr="008310AB">
        <w:rPr>
          <w:i/>
          <w:iCs/>
          <w:szCs w:val="16"/>
          <w:lang w:val="en-ID"/>
        </w:rPr>
        <w:t xml:space="preserve"> </w:t>
      </w:r>
      <w:proofErr w:type="spellStart"/>
      <w:r w:rsidRPr="008310AB">
        <w:rPr>
          <w:i/>
          <w:iCs/>
          <w:szCs w:val="16"/>
          <w:lang w:val="en-ID"/>
        </w:rPr>
        <w:t>Manajemen</w:t>
      </w:r>
      <w:proofErr w:type="spellEnd"/>
      <w:r w:rsidRPr="008310AB">
        <w:rPr>
          <w:i/>
          <w:iCs/>
          <w:szCs w:val="16"/>
          <w:lang w:val="en-ID"/>
        </w:rPr>
        <w:t xml:space="preserve"> </w:t>
      </w:r>
      <w:proofErr w:type="spellStart"/>
      <w:r w:rsidRPr="008310AB">
        <w:rPr>
          <w:i/>
          <w:iCs/>
          <w:szCs w:val="16"/>
          <w:lang w:val="en-ID"/>
        </w:rPr>
        <w:t>Perhotelan</w:t>
      </w:r>
      <w:proofErr w:type="spellEnd"/>
      <w:r w:rsidRPr="008310AB">
        <w:rPr>
          <w:i/>
          <w:iCs/>
          <w:szCs w:val="16"/>
          <w:lang w:val="en-ID"/>
        </w:rPr>
        <w:t xml:space="preserve"> Petra, 5</w:t>
      </w:r>
      <w:r w:rsidRPr="008310AB">
        <w:rPr>
          <w:szCs w:val="16"/>
          <w:lang w:val="en-ID"/>
        </w:rPr>
        <w:t>(1), 14–22.</w:t>
      </w:r>
    </w:p>
    <w:p w14:paraId="41678428" w14:textId="30E7DC8D" w:rsidR="008717E0" w:rsidRPr="008310AB" w:rsidRDefault="008B6FB5" w:rsidP="00876994">
      <w:pPr>
        <w:pStyle w:val="Rujukan"/>
        <w:numPr>
          <w:ilvl w:val="0"/>
          <w:numId w:val="11"/>
        </w:numPr>
        <w:ind w:left="426" w:hanging="426"/>
        <w:rPr>
          <w:color w:val="0070C0"/>
          <w:szCs w:val="16"/>
        </w:rPr>
      </w:pPr>
      <w:r w:rsidRPr="008310AB">
        <w:rPr>
          <w:szCs w:val="16"/>
          <w:lang w:val="en-ID"/>
        </w:rPr>
        <w:t xml:space="preserve">Zeithaml, V. A., Berry, L. L., &amp; Parasuraman, A. (2018). The </w:t>
      </w:r>
      <w:proofErr w:type="spellStart"/>
      <w:r w:rsidRPr="008310AB">
        <w:rPr>
          <w:szCs w:val="16"/>
          <w:lang w:val="en-ID"/>
        </w:rPr>
        <w:t>behavioral</w:t>
      </w:r>
      <w:proofErr w:type="spellEnd"/>
      <w:r w:rsidRPr="008310AB">
        <w:rPr>
          <w:szCs w:val="16"/>
          <w:lang w:val="en-ID"/>
        </w:rPr>
        <w:t xml:space="preserve"> consequences of service quality. </w:t>
      </w:r>
      <w:r w:rsidRPr="008310AB">
        <w:rPr>
          <w:i/>
          <w:iCs/>
          <w:szCs w:val="16"/>
          <w:lang w:val="en-ID"/>
        </w:rPr>
        <w:t>Journal of Marketing, 60</w:t>
      </w:r>
      <w:r w:rsidRPr="008310AB">
        <w:rPr>
          <w:szCs w:val="16"/>
          <w:lang w:val="en-ID"/>
        </w:rPr>
        <w:t>(2), 31–46.</w:t>
      </w:r>
      <w:r w:rsidR="00876994" w:rsidRPr="008310AB">
        <w:rPr>
          <w:color w:val="0070C0"/>
          <w:szCs w:val="16"/>
        </w:rPr>
        <w:t xml:space="preserve"> </w:t>
      </w:r>
    </w:p>
    <w:sectPr w:rsidR="008717E0" w:rsidRPr="008310AB" w:rsidSect="00D56597">
      <w:headerReference w:type="default" r:id="rId24"/>
      <w:footerReference w:type="default" r:id="rId2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9496" w14:textId="77777777" w:rsidR="00A54185" w:rsidRDefault="00A54185">
      <w:pPr>
        <w:spacing w:after="0"/>
      </w:pPr>
      <w:r>
        <w:separator/>
      </w:r>
    </w:p>
  </w:endnote>
  <w:endnote w:type="continuationSeparator" w:id="0">
    <w:p w14:paraId="6C55FE03" w14:textId="77777777" w:rsidR="00A54185" w:rsidRDefault="00A54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4894" w14:textId="0AA69630" w:rsidR="00DF0BEE" w:rsidRPr="00190B77" w:rsidRDefault="00D56597" w:rsidP="00082DF1">
    <w:pPr>
      <w:pStyle w:val="Footer"/>
      <w:pBdr>
        <w:bottom w:val="single" w:sz="6" w:space="1" w:color="auto"/>
      </w:pBdr>
      <w:tabs>
        <w:tab w:val="clear" w:pos="9026"/>
        <w:tab w:val="right" w:pos="9070"/>
      </w:tabs>
      <w:jc w:val="center"/>
    </w:pPr>
    <w:bookmarkStart w:id="0" w:name="_Hlk70513816"/>
    <w:r w:rsidRPr="00D56597">
      <w:rPr>
        <w:rFonts w:eastAsia="Times New Roman"/>
        <w:color w:val="000000"/>
        <w:lang w:val="id-ID"/>
      </w:rPr>
      <w:t>Loyalty Programs and Customer Retention in the Hospitality Sector: A Study at Rumah Jawa Syariah Guest House</w:t>
    </w:r>
  </w:p>
  <w:bookmarkEnd w:id="0"/>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7AC8" w14:textId="0A264E74" w:rsidR="00D56597" w:rsidRPr="00190B77" w:rsidRDefault="00D56597"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lang w:val="id-ID"/>
      </w:rPr>
      <w:t>DOI: https://doi.org/</w:t>
    </w:r>
    <w:r w:rsidRPr="00D56597">
      <w:rPr>
        <w:rFonts w:eastAsia="Times New Roman"/>
        <w:color w:val="000000"/>
        <w:lang w:val="id-ID"/>
      </w:rPr>
      <w:t>10.31004/riggs.v4i4.4475</w:t>
    </w:r>
  </w:p>
  <w:p w14:paraId="22FC15E3" w14:textId="77777777" w:rsidR="00D56597" w:rsidRPr="00190B77" w:rsidRDefault="00D56597"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p w14:paraId="3BE06707" w14:textId="77777777" w:rsidR="00D56597" w:rsidRDefault="00D56597">
    <w:pPr>
      <w:pStyle w:val="Footer"/>
      <w:jc w:val="center"/>
    </w:pPr>
    <w:r>
      <w:fldChar w:fldCharType="begin"/>
    </w:r>
    <w:r>
      <w:instrText xml:space="preserve"> PAGE   \* MERGEFORMAT </w:instrText>
    </w:r>
    <w:r>
      <w:fldChar w:fldCharType="separate"/>
    </w:r>
    <w:r>
      <w:rPr>
        <w:noProof/>
      </w:rPr>
      <w:t>2</w:t>
    </w:r>
    <w:r>
      <w:fldChar w:fldCharType="end"/>
    </w:r>
  </w:p>
  <w:p w14:paraId="2ADD4EE9" w14:textId="77777777" w:rsidR="00D56597" w:rsidRDefault="00D56597">
    <w:pPr>
      <w:pStyle w:val="Footer"/>
    </w:pPr>
  </w:p>
  <w:p w14:paraId="0729128C" w14:textId="77777777" w:rsidR="00D56597" w:rsidRDefault="00D5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C64A" w14:textId="77777777" w:rsidR="00A54185" w:rsidRDefault="00A54185">
      <w:pPr>
        <w:spacing w:after="0"/>
      </w:pPr>
      <w:r>
        <w:separator/>
      </w:r>
    </w:p>
  </w:footnote>
  <w:footnote w:type="continuationSeparator" w:id="0">
    <w:p w14:paraId="52818C18" w14:textId="77777777" w:rsidR="00A54185" w:rsidRDefault="00A541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87EF" w14:textId="583B38D4" w:rsidR="00DF0BEE" w:rsidRPr="0033260F" w:rsidRDefault="00DF0BEE" w:rsidP="00D56597">
    <w:pPr>
      <w:pStyle w:val="Header"/>
      <w:jc w:val="center"/>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15D" w14:textId="63952817" w:rsidR="00D56597" w:rsidRPr="00D56597" w:rsidRDefault="00D56597" w:rsidP="00D56597">
    <w:pPr>
      <w:pStyle w:val="Subtitle"/>
      <w:spacing w:after="0"/>
      <w:rPr>
        <w:b w:val="0"/>
        <w:iCs/>
        <w:color w:val="404040"/>
        <w:sz w:val="20"/>
        <w:szCs w:val="20"/>
      </w:rPr>
    </w:pPr>
    <w:r w:rsidRPr="008310AB">
      <w:rPr>
        <w:rStyle w:val="SubtleEmphasis"/>
        <w:b w:val="0"/>
        <w:sz w:val="20"/>
        <w:szCs w:val="20"/>
      </w:rPr>
      <w:t xml:space="preserve">Ramadhan </w:t>
    </w:r>
    <w:proofErr w:type="spellStart"/>
    <w:r w:rsidRPr="008310AB">
      <w:rPr>
        <w:rStyle w:val="SubtleEmphasis"/>
        <w:b w:val="0"/>
        <w:sz w:val="20"/>
        <w:szCs w:val="20"/>
      </w:rPr>
      <w:t>Bagus</w:t>
    </w:r>
    <w:proofErr w:type="spellEnd"/>
    <w:r w:rsidRPr="008310AB">
      <w:rPr>
        <w:rStyle w:val="SubtleEmphasis"/>
        <w:b w:val="0"/>
        <w:sz w:val="20"/>
        <w:szCs w:val="20"/>
      </w:rPr>
      <w:t xml:space="preserve"> Hartanto, </w:t>
    </w:r>
    <w:proofErr w:type="spellStart"/>
    <w:r w:rsidRPr="008310AB">
      <w:rPr>
        <w:rStyle w:val="SubtleEmphasis"/>
        <w:b w:val="0"/>
        <w:sz w:val="20"/>
        <w:szCs w:val="20"/>
      </w:rPr>
      <w:t>Fitroh</w:t>
    </w:r>
    <w:proofErr w:type="spellEnd"/>
    <w:r w:rsidRPr="008310AB">
      <w:rPr>
        <w:rStyle w:val="SubtleEmphasis"/>
        <w:b w:val="0"/>
        <w:sz w:val="20"/>
        <w:szCs w:val="20"/>
      </w:rPr>
      <w:t xml:space="preserve"> </w:t>
    </w:r>
    <w:proofErr w:type="spellStart"/>
    <w:r w:rsidRPr="008310AB">
      <w:rPr>
        <w:rStyle w:val="SubtleEmphasis"/>
        <w:b w:val="0"/>
        <w:sz w:val="20"/>
        <w:szCs w:val="20"/>
      </w:rPr>
      <w:t>Adilla</w:t>
    </w:r>
    <w:proofErr w:type="spellEnd"/>
    <w:r w:rsidRPr="008310AB">
      <w:rPr>
        <w:rStyle w:val="SubtleEmphasis"/>
        <w:b w:val="0"/>
        <w:sz w:val="20"/>
        <w:szCs w:val="20"/>
      </w:rPr>
      <w:t xml:space="preserve">, </w:t>
    </w:r>
    <w:proofErr w:type="spellStart"/>
    <w:r w:rsidRPr="008310AB">
      <w:rPr>
        <w:rStyle w:val="SubtleEmphasis"/>
        <w:b w:val="0"/>
        <w:sz w:val="20"/>
        <w:szCs w:val="20"/>
      </w:rPr>
      <w:t>Zunan</w:t>
    </w:r>
    <w:proofErr w:type="spellEnd"/>
    <w:r w:rsidRPr="008310AB">
      <w:rPr>
        <w:rStyle w:val="SubtleEmphasis"/>
        <w:b w:val="0"/>
        <w:sz w:val="20"/>
        <w:szCs w:val="20"/>
      </w:rPr>
      <w:t xml:space="preserve"> Setiawan</w:t>
    </w:r>
    <w:r w:rsidRPr="008310AB">
      <w:rPr>
        <w:rStyle w:val="SubtleEmphasis"/>
        <w:b w:val="0"/>
        <w:sz w:val="20"/>
        <w:szCs w:val="20"/>
        <w:vertAlign w:val="superscript"/>
      </w:rPr>
      <w:t xml:space="preserve"> </w:t>
    </w:r>
  </w:p>
  <w:p w14:paraId="410E0CBB" w14:textId="2F915C69" w:rsidR="00D56597" w:rsidRPr="0033260F" w:rsidRDefault="00D56597"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r w:rsidRPr="00D031E8">
      <w:t xml:space="preserve">Volume </w:t>
    </w:r>
    <w:r w:rsidRPr="00D56597">
      <w:t xml:space="preserve">4 </w:t>
    </w:r>
    <w:proofErr w:type="spellStart"/>
    <w:r w:rsidRPr="00D56597">
      <w:t>Nomor</w:t>
    </w:r>
    <w:proofErr w:type="spellEnd"/>
    <w:r w:rsidRPr="00D56597">
      <w:t xml:space="preserve"> 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137DD"/>
    <w:multiLevelType w:val="hybridMultilevel"/>
    <w:tmpl w:val="67B8754C"/>
    <w:lvl w:ilvl="0" w:tplc="3C4E0044">
      <w:start w:val="1"/>
      <w:numFmt w:val="decimal"/>
      <w:lvlText w:val="%1."/>
      <w:lvlJc w:val="left"/>
      <w:pPr>
        <w:ind w:left="720" w:hanging="360"/>
      </w:pPr>
      <w:rPr>
        <w:rFonts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5307D"/>
    <w:multiLevelType w:val="hybridMultilevel"/>
    <w:tmpl w:val="D564F734"/>
    <w:lvl w:ilvl="0" w:tplc="13340BA6">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524378"/>
    <w:multiLevelType w:val="hybridMultilevel"/>
    <w:tmpl w:val="521A0B8A"/>
    <w:lvl w:ilvl="0" w:tplc="2054958A">
      <w:start w:val="1"/>
      <w:numFmt w:val="decimal"/>
      <w:lvlText w:val="%1."/>
      <w:lvlJc w:val="left"/>
      <w:pPr>
        <w:ind w:left="720" w:hanging="360"/>
      </w:pPr>
      <w:rPr>
        <w:rFonts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0"/>
  </w:num>
  <w:num w:numId="4">
    <w:abstractNumId w:val="7"/>
  </w:num>
  <w:num w:numId="5">
    <w:abstractNumId w:val="1"/>
  </w:num>
  <w:num w:numId="6">
    <w:abstractNumId w:val="3"/>
  </w:num>
  <w:num w:numId="7">
    <w:abstractNumId w:val="4"/>
  </w:num>
  <w:num w:numId="8">
    <w:abstractNumId w:val="8"/>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68A7"/>
    <w:rsid w:val="0033205A"/>
    <w:rsid w:val="0033260F"/>
    <w:rsid w:val="003468AB"/>
    <w:rsid w:val="00355D7E"/>
    <w:rsid w:val="003577F2"/>
    <w:rsid w:val="00361AC6"/>
    <w:rsid w:val="00397ABF"/>
    <w:rsid w:val="003B17BE"/>
    <w:rsid w:val="003B496A"/>
    <w:rsid w:val="003B5E83"/>
    <w:rsid w:val="003C0EE1"/>
    <w:rsid w:val="003E55A5"/>
    <w:rsid w:val="003E6BC9"/>
    <w:rsid w:val="003F4478"/>
    <w:rsid w:val="003F51D8"/>
    <w:rsid w:val="003F7732"/>
    <w:rsid w:val="004055A4"/>
    <w:rsid w:val="00410B25"/>
    <w:rsid w:val="00413896"/>
    <w:rsid w:val="00433408"/>
    <w:rsid w:val="0043444F"/>
    <w:rsid w:val="00437181"/>
    <w:rsid w:val="004936A3"/>
    <w:rsid w:val="004A0DDF"/>
    <w:rsid w:val="004A6011"/>
    <w:rsid w:val="004A7B94"/>
    <w:rsid w:val="004B4C23"/>
    <w:rsid w:val="004B505B"/>
    <w:rsid w:val="004D1DA5"/>
    <w:rsid w:val="004E0DC5"/>
    <w:rsid w:val="004E6245"/>
    <w:rsid w:val="004F372D"/>
    <w:rsid w:val="004F6849"/>
    <w:rsid w:val="004F7CFF"/>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5661"/>
    <w:rsid w:val="00616826"/>
    <w:rsid w:val="0065051F"/>
    <w:rsid w:val="006518BB"/>
    <w:rsid w:val="006520F2"/>
    <w:rsid w:val="00665ED4"/>
    <w:rsid w:val="00670B39"/>
    <w:rsid w:val="00671B10"/>
    <w:rsid w:val="00671DC2"/>
    <w:rsid w:val="00673739"/>
    <w:rsid w:val="00675479"/>
    <w:rsid w:val="00675D76"/>
    <w:rsid w:val="00683633"/>
    <w:rsid w:val="006904EA"/>
    <w:rsid w:val="00693C5F"/>
    <w:rsid w:val="00696A5F"/>
    <w:rsid w:val="00696ADB"/>
    <w:rsid w:val="006B3792"/>
    <w:rsid w:val="006C4EA5"/>
    <w:rsid w:val="006C6EDD"/>
    <w:rsid w:val="006D1672"/>
    <w:rsid w:val="006F3FF8"/>
    <w:rsid w:val="006F50DD"/>
    <w:rsid w:val="006F5BA8"/>
    <w:rsid w:val="007006ED"/>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7F1E33"/>
    <w:rsid w:val="00805BE9"/>
    <w:rsid w:val="0080635E"/>
    <w:rsid w:val="00807C9E"/>
    <w:rsid w:val="0081097F"/>
    <w:rsid w:val="008200A3"/>
    <w:rsid w:val="008310AB"/>
    <w:rsid w:val="008430EB"/>
    <w:rsid w:val="00847F3A"/>
    <w:rsid w:val="00854C35"/>
    <w:rsid w:val="008642E7"/>
    <w:rsid w:val="00864FB1"/>
    <w:rsid w:val="00865A2E"/>
    <w:rsid w:val="00870468"/>
    <w:rsid w:val="008717E0"/>
    <w:rsid w:val="00871F81"/>
    <w:rsid w:val="00876994"/>
    <w:rsid w:val="00896E08"/>
    <w:rsid w:val="008A1EED"/>
    <w:rsid w:val="008B0955"/>
    <w:rsid w:val="008B6FB5"/>
    <w:rsid w:val="008B7BFE"/>
    <w:rsid w:val="008D342A"/>
    <w:rsid w:val="008D6BCE"/>
    <w:rsid w:val="008F6707"/>
    <w:rsid w:val="009045CB"/>
    <w:rsid w:val="009265DA"/>
    <w:rsid w:val="00931380"/>
    <w:rsid w:val="0093231C"/>
    <w:rsid w:val="009357E7"/>
    <w:rsid w:val="00944133"/>
    <w:rsid w:val="00955106"/>
    <w:rsid w:val="00971375"/>
    <w:rsid w:val="009720B9"/>
    <w:rsid w:val="0097759B"/>
    <w:rsid w:val="009937A7"/>
    <w:rsid w:val="009956A7"/>
    <w:rsid w:val="00995917"/>
    <w:rsid w:val="009A2F9D"/>
    <w:rsid w:val="009A32C1"/>
    <w:rsid w:val="009A32FC"/>
    <w:rsid w:val="009A3B7A"/>
    <w:rsid w:val="009A624F"/>
    <w:rsid w:val="009C555A"/>
    <w:rsid w:val="009D2EBE"/>
    <w:rsid w:val="009E0DE1"/>
    <w:rsid w:val="009E37F2"/>
    <w:rsid w:val="00A02294"/>
    <w:rsid w:val="00A10EFB"/>
    <w:rsid w:val="00A11036"/>
    <w:rsid w:val="00A416FA"/>
    <w:rsid w:val="00A478DE"/>
    <w:rsid w:val="00A54185"/>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28C4"/>
    <w:rsid w:val="00B43AFF"/>
    <w:rsid w:val="00B82A0F"/>
    <w:rsid w:val="00B83D7B"/>
    <w:rsid w:val="00B84C63"/>
    <w:rsid w:val="00B8786D"/>
    <w:rsid w:val="00B95B45"/>
    <w:rsid w:val="00BA4F04"/>
    <w:rsid w:val="00BC70A9"/>
    <w:rsid w:val="00BD5748"/>
    <w:rsid w:val="00BD6072"/>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17AE"/>
    <w:rsid w:val="00D56597"/>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452F"/>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6B22"/>
    <w:rsid w:val="00F65811"/>
    <w:rsid w:val="00F750D2"/>
    <w:rsid w:val="00F93300"/>
    <w:rsid w:val="00F96337"/>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775757984">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1.xml"/><Relationship Id="rId18" Type="http://schemas.openxmlformats.org/officeDocument/2006/relationships/hyperlink" Target="https://doi.org/10.1177/1468794102002002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509/jmkg.73.4.52"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doi.org/10.1108/0951354101101301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539/ijbm.v13n7p180" TargetMode="External"/><Relationship Id="rId20" Type="http://schemas.openxmlformats.org/officeDocument/2006/relationships/hyperlink" Target="https://doi.org/10.1177/109467050134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unan.setiawan@mm.uad.ac.id"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08/QAE-02-2015-0015" TargetMode="External"/><Relationship Id="rId23" Type="http://schemas.openxmlformats.org/officeDocument/2006/relationships/hyperlink" Target="https://doi.org/10.1108/IJEM-02-2019-0063" TargetMode="External"/><Relationship Id="rId10" Type="http://schemas.openxmlformats.org/officeDocument/2006/relationships/hyperlink" Target="mailto:%20fitroh.adilla@mm.uad.ac.id" TargetMode="External"/><Relationship Id="rId19" Type="http://schemas.openxmlformats.org/officeDocument/2006/relationships/hyperlink" Target="https://doi.org/10.1080/15332667.2020.1861423" TargetMode="External"/><Relationship Id="rId4" Type="http://schemas.openxmlformats.org/officeDocument/2006/relationships/webSettings" Target="webSettings.xml"/><Relationship Id="rId9" Type="http://schemas.openxmlformats.org/officeDocument/2006/relationships/hyperlink" Target="mailto:2407051024@webmail.uad.ac.id" TargetMode="External"/><Relationship Id="rId14" Type="http://schemas.openxmlformats.org/officeDocument/2006/relationships/footer" Target="footer2.xml"/><Relationship Id="rId22" Type="http://schemas.openxmlformats.org/officeDocument/2006/relationships/hyperlink" Target="https://doi.org/10.1108/IJEM-10-2020-047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6245</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41759</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4</cp:revision>
  <cp:lastPrinted>2018-06-26T09:35:00Z</cp:lastPrinted>
  <dcterms:created xsi:type="dcterms:W3CDTF">2025-12-12T09:14:00Z</dcterms:created>
  <dcterms:modified xsi:type="dcterms:W3CDTF">2025-12-18T05:34:00Z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