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13FDA6A9"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3E3842" w:rsidRPr="003E3842">
              <w:rPr>
                <w:spacing w:val="20"/>
                <w:position w:val="6"/>
                <w:sz w:val="24"/>
                <w:szCs w:val="24"/>
              </w:rPr>
              <w:t>4 No. 4 (2026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pp: 1</w:t>
            </w:r>
            <w:r w:rsidR="003E3842">
              <w:rPr>
                <w:spacing w:val="20"/>
                <w:position w:val="6"/>
                <w:sz w:val="24"/>
                <w:szCs w:val="24"/>
              </w:rPr>
              <w:t>0779-10785</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1AE66DE0" w:rsidR="00BC1510" w:rsidRPr="00BC1510" w:rsidRDefault="00C03780" w:rsidP="00FF156C">
      <w:pPr>
        <w:pStyle w:val="Subtitle"/>
        <w:spacing w:before="240"/>
        <w:rPr>
          <w:b w:val="0"/>
          <w:bCs/>
          <w:lang w:val="sv-SE"/>
        </w:rPr>
      </w:pPr>
      <w:r w:rsidRPr="00C03780">
        <w:rPr>
          <w:b w:val="0"/>
          <w:bCs/>
          <w:lang w:val="sv-SE"/>
        </w:rPr>
        <w:t>Analisis Yuridis Putusan MA No. 2992 K/PDT/2015 dalam Perspektif Hukum Dagang Internasional</w:t>
      </w:r>
    </w:p>
    <w:p w14:paraId="4B311846" w14:textId="4F47F9C5" w:rsidR="00C03780" w:rsidRPr="00FF156C" w:rsidRDefault="00C03780" w:rsidP="00C03780">
      <w:pPr>
        <w:spacing w:after="0"/>
        <w:jc w:val="center"/>
        <w:rPr>
          <w:szCs w:val="20"/>
          <w:vertAlign w:val="superscript"/>
          <w:lang w:val="id-ID"/>
        </w:rPr>
      </w:pPr>
      <w:r w:rsidRPr="00FF156C">
        <w:rPr>
          <w:szCs w:val="20"/>
          <w:lang w:val="id-ID"/>
        </w:rPr>
        <w:t>Mustafid Milanto Achmad, Rouli Anita Velentina</w:t>
      </w:r>
    </w:p>
    <w:p w14:paraId="357D08AD" w14:textId="40085C05" w:rsidR="00C03780" w:rsidRPr="00FF156C" w:rsidRDefault="00C03780" w:rsidP="00C03780">
      <w:pPr>
        <w:spacing w:after="0"/>
        <w:jc w:val="center"/>
        <w:rPr>
          <w:sz w:val="18"/>
          <w:szCs w:val="18"/>
          <w:lang w:val="id-ID"/>
        </w:rPr>
      </w:pPr>
      <w:r w:rsidRPr="00FF156C">
        <w:rPr>
          <w:sz w:val="18"/>
          <w:szCs w:val="18"/>
          <w:lang w:val="id-ID"/>
        </w:rPr>
        <w:t>Magister Hukum, Universitas Pembangunan Nasional “Veteran” Jakarta, Depok, Jawa Barat, Indonesia</w:t>
      </w:r>
    </w:p>
    <w:p w14:paraId="1CC0F524" w14:textId="7D6B6795" w:rsidR="0093742B" w:rsidRPr="00FF156C" w:rsidRDefault="00462ABD" w:rsidP="0093742B">
      <w:pPr>
        <w:pStyle w:val="Subtitle"/>
        <w:spacing w:after="240"/>
        <w:rPr>
          <w:b w:val="0"/>
          <w:iCs/>
          <w:color w:val="404040"/>
          <w:sz w:val="18"/>
          <w:szCs w:val="18"/>
        </w:rPr>
      </w:pPr>
      <w:hyperlink r:id="rId9" w:history="1">
        <w:r w:rsidR="00C03780" w:rsidRPr="00FF156C">
          <w:rPr>
            <w:rStyle w:val="Hyperlink"/>
            <w:b w:val="0"/>
            <w:sz w:val="18"/>
            <w:szCs w:val="18"/>
            <w:lang w:val="id-ID"/>
          </w:rPr>
          <w:t>mr.mustafidmilantoachmad@gmail.com</w:t>
        </w:r>
      </w:hyperlink>
      <w:r w:rsidR="00C03780" w:rsidRPr="00FF156C">
        <w:rPr>
          <w:b w:val="0"/>
          <w:sz w:val="18"/>
          <w:szCs w:val="18"/>
          <w:lang w:val="id-ID"/>
        </w:rPr>
        <w:t xml:space="preserve">, </w:t>
      </w:r>
      <w:hyperlink r:id="rId10" w:history="1">
        <w:r w:rsidR="00C03780" w:rsidRPr="00FF156C">
          <w:rPr>
            <w:rStyle w:val="Hyperlink"/>
            <w:b w:val="0"/>
            <w:sz w:val="18"/>
            <w:szCs w:val="18"/>
            <w:lang w:val="id-ID"/>
          </w:rPr>
          <w:t>rouli.anita@ui.ac.id</w:t>
        </w:r>
      </w:hyperlink>
    </w:p>
    <w:p w14:paraId="163AE2A4" w14:textId="76C5C91B" w:rsidR="00BC1510" w:rsidRPr="0093742B" w:rsidRDefault="00BC1510" w:rsidP="00FF156C">
      <w:pPr>
        <w:pStyle w:val="Heading1"/>
        <w:spacing w:after="0"/>
        <w:rPr>
          <w:i/>
          <w:iCs/>
          <w:lang w:val="sv-SE"/>
        </w:rPr>
      </w:pPr>
      <w:r w:rsidRPr="0093742B">
        <w:rPr>
          <w:i/>
          <w:iCs/>
          <w:lang w:val="sv-SE"/>
        </w:rPr>
        <w:t xml:space="preserve">Abstrak </w:t>
      </w:r>
    </w:p>
    <w:p w14:paraId="19AD6FD8" w14:textId="162C9942" w:rsidR="002071E0" w:rsidRPr="00FF156C" w:rsidRDefault="002071E0" w:rsidP="00FF156C">
      <w:pPr>
        <w:spacing w:before="240" w:after="0"/>
        <w:rPr>
          <w:i/>
          <w:iCs/>
          <w:sz w:val="18"/>
          <w:szCs w:val="18"/>
          <w:lang w:val="id-ID"/>
        </w:rPr>
      </w:pPr>
      <w:r w:rsidRPr="00FF156C">
        <w:rPr>
          <w:i/>
          <w:iCs/>
          <w:sz w:val="18"/>
          <w:szCs w:val="18"/>
          <w:lang w:val="id-ID"/>
        </w:rPr>
        <w:t>Putusan Mahkamah Agung Republik Indonesia Nomor 2992 K/Pdt/2015 merupakan salah satu putusan penting yang memberikan arah penafsiran hukum dalam sengketa kontrak dagang internasional di Indonesia. Putusan ini memuat pertimbangan hukum yang signifikan terkait penerapan asas privity of contract, batasan doktrin piercing the corporate veil, penegakan kedaulatan moneter, serta pembuktian wanprestasi dalam perjanjian bisnis lintas negara. Penelitian ini bertujuan untuk menganalisis secara yuridis putusan tersebut dengan menitikberatkan pada tiga aspek utama, yaitu keterikatan kontrak terhadap pihak non-penandatangan dalam struktur grup perusahaan, kewajiban konversi ganti rugi dalam mata uang asing ke Rupiah, serta penerapan pembelaan exceptio non adimpleti contractus dalam sengketa wanprestasi. Metode penelitian yang digunakan adalah yuridis normatif dengan pendekatan perundang-undangan, pendekatan kasus, dan pendekatan konseptual melalui analisis putusan pengadilan serta studi kepustakaan. Hasil penelitian menunjukkan bahwa Mahkamah Agung secara konsisten menegakkan asas privity of contract dengan menolak pembebanan tanggung jawab kontraktual kepada entitas asing yang tidak menandatangani perjanjian, sekaligus membatasi penerapan doktrin piercing the corporate veil hanya pada kondisi penyalahgunaan badan hukum yang terbukti secara nyata. Selain itu, Mahkamah Agung menegaskan kedaulatan moneter Indonesia dengan mewajibkan konversi nilai ganti rugi ke dalam Rupiah berdasarkan Undang-Undang Mata Uang. Putusan ini juga menegaskan bahwa beban pembuktian wanprestasi tetap berada pada pihak tergugat, dan pembelaan exceptio non adimpleti contractus tidak dapat diterima tanpa pembuktian hubungan kausal yang kuat. Simpulan penelitian ini menunjukkan bahwa putusan MA No. 2992 K/Pdt/2015 berhasil menciptakan keseimbangan antara prinsip hukum kontrak internasional dan ketentuan hukum nasional, sehingga memberikan kepastian hukum bagi pelaku usaha dalam transaksi lintas negara.</w:t>
      </w:r>
    </w:p>
    <w:p w14:paraId="500BA80C" w14:textId="44B8C008" w:rsidR="00BC1510" w:rsidRPr="00FF156C" w:rsidRDefault="00C03780" w:rsidP="00FF156C">
      <w:pPr>
        <w:spacing w:before="240"/>
        <w:rPr>
          <w:i/>
          <w:iCs/>
          <w:sz w:val="18"/>
          <w:szCs w:val="18"/>
          <w:lang w:val="sv-SE"/>
        </w:rPr>
      </w:pPr>
      <w:r w:rsidRPr="00FF156C">
        <w:rPr>
          <w:i/>
          <w:iCs/>
          <w:sz w:val="18"/>
          <w:szCs w:val="18"/>
          <w:lang w:val="id-ID"/>
        </w:rPr>
        <w:t xml:space="preserve">Kata </w:t>
      </w:r>
      <w:r w:rsidR="00FF156C" w:rsidRPr="00FF156C">
        <w:rPr>
          <w:i/>
          <w:iCs/>
          <w:sz w:val="18"/>
          <w:szCs w:val="18"/>
          <w:lang w:val="id-ID"/>
        </w:rPr>
        <w:t>kunci</w:t>
      </w:r>
      <w:r w:rsidRPr="00FF156C">
        <w:rPr>
          <w:i/>
          <w:iCs/>
          <w:sz w:val="18"/>
          <w:szCs w:val="18"/>
          <w:lang w:val="id-ID"/>
        </w:rPr>
        <w:t>: Hukum Dagang Internasional, Privity of Contract, Piercing the Corporate Veil, Kedaulatan Moneter, Wanprestasi, Mahkamah Agung.</w:t>
      </w:r>
    </w:p>
    <w:p w14:paraId="7C449C05" w14:textId="77777777" w:rsidR="00C03780" w:rsidRPr="00FF156C" w:rsidRDefault="00C03780" w:rsidP="00FF156C">
      <w:pPr>
        <w:spacing w:before="240"/>
        <w:rPr>
          <w:sz w:val="18"/>
          <w:szCs w:val="18"/>
          <w:lang w:val="sv-SE"/>
        </w:rPr>
        <w:sectPr w:rsidR="00C03780" w:rsidRPr="00FF156C" w:rsidSect="003E3842">
          <w:headerReference w:type="default" r:id="rId11"/>
          <w:footerReference w:type="default" r:id="rId12"/>
          <w:footerReference w:type="first" r:id="rId13"/>
          <w:pgSz w:w="11906" w:h="16838" w:code="9"/>
          <w:pgMar w:top="1418" w:right="1418" w:bottom="1418" w:left="1418" w:header="709" w:footer="709" w:gutter="0"/>
          <w:pgNumType w:start="10779"/>
          <w:cols w:space="720"/>
          <w:titlePg/>
          <w:docGrid w:linePitch="360"/>
        </w:sectPr>
      </w:pPr>
    </w:p>
    <w:p w14:paraId="662ACBE6" w14:textId="77777777" w:rsidR="005B44E9" w:rsidRPr="00FF156C" w:rsidRDefault="00BC1510" w:rsidP="00FF156C">
      <w:pPr>
        <w:pStyle w:val="ListParagraph"/>
        <w:numPr>
          <w:ilvl w:val="0"/>
          <w:numId w:val="16"/>
        </w:numPr>
        <w:spacing w:before="240"/>
        <w:ind w:left="284" w:hanging="284"/>
        <w:rPr>
          <w:color w:val="000000"/>
          <w:szCs w:val="20"/>
          <w:lang w:val="sv-SE"/>
        </w:rPr>
      </w:pPr>
      <w:proofErr w:type="spellStart"/>
      <w:r w:rsidRPr="00FF156C">
        <w:rPr>
          <w:b/>
          <w:bCs/>
        </w:rPr>
        <w:t>Latar</w:t>
      </w:r>
      <w:proofErr w:type="spellEnd"/>
      <w:r w:rsidRPr="00FF156C">
        <w:rPr>
          <w:b/>
          <w:bCs/>
        </w:rPr>
        <w:t xml:space="preserve"> </w:t>
      </w:r>
      <w:proofErr w:type="spellStart"/>
      <w:r w:rsidRPr="00FF156C">
        <w:rPr>
          <w:b/>
          <w:bCs/>
        </w:rPr>
        <w:t>Belakang</w:t>
      </w:r>
      <w:proofErr w:type="spellEnd"/>
    </w:p>
    <w:p w14:paraId="5E966569" w14:textId="77777777" w:rsidR="00FF156C" w:rsidRDefault="005B44E9" w:rsidP="00FF156C">
      <w:pPr>
        <w:rPr>
          <w:color w:val="000000"/>
          <w:szCs w:val="20"/>
          <w:lang w:val="sv-SE"/>
        </w:rPr>
      </w:pPr>
      <w:r w:rsidRPr="005B44E9">
        <w:rPr>
          <w:color w:val="000000"/>
          <w:szCs w:val="20"/>
          <w:lang w:val="sv-SE"/>
        </w:rPr>
        <w:t>Globalisasi ekonomi telah mendorong peningkatan intensitas transaksi perdagangan lintas negara yang melibatkan pelaku usaha dari berbagai yurisdiksi. Perkembangan ini tidak hanya memperluas peluang investasi dan kerja sama bisnis internasional, tetapi juga meningkatkan potensi timbulnya sengketa kontraktual yang kompleks. Sengketa tersebut sering kali tidak hanya berkaitan dengan wanprestasi semata, melainkan juga menyentuh persoalan mendasar mengenai penerapan asas-asas hukum kontrak internasional, yurisdiksi pengadilan, struktur grup perusahaan multinasional, serta keberlakuan hukum nasional dalam konteks transaksi global. Dalam kondisi demikian, peran pengadilan nasional menjadi sangat krusial dalam menjaga keseimbangan antara kepastian hukum, keadilan bagi para pihak, dan perlindungan kepentingan nasional.</w:t>
      </w:r>
    </w:p>
    <w:p w14:paraId="7F8AC231" w14:textId="4C1BB909" w:rsidR="005B44E9" w:rsidRPr="00FF156C" w:rsidRDefault="005B44E9" w:rsidP="00FF156C">
      <w:pPr>
        <w:rPr>
          <w:color w:val="000000"/>
          <w:szCs w:val="20"/>
          <w:lang w:val="sv-SE"/>
        </w:rPr>
      </w:pPr>
      <w:r w:rsidRPr="005B44E9">
        <w:rPr>
          <w:color w:val="000000"/>
          <w:szCs w:val="20"/>
          <w:lang w:val="sv-SE"/>
        </w:rPr>
        <w:t>Dalam hukum kontrak internasional, asas privity of contract merupakan prinsip fundamental yang menegaskan bahwa suatu perjanjian hanya mengikat para pihak yang secara sah menyatakan persetujuannya. Asas ini berfungsi untuk memberikan kepastian hukum serta membatasi tanggung jawab kontraktual agar tidak meluas secara tidak proporsional kepada pihak-pihak yang tidak pernah menyatakan kehendak untuk terikat. Namun, dalam praktik bisnis modern yang didominasi oleh struktur grup perusahaan multinasional, asas ini kerap diuji. Hubungan ekonomi yang erat, pengendalian manajerial oleh perusahaan induk, serta integrasi operasional antar-entitas sering kali mendorong pihak yang dirugikan untuk mencoba menarik perusahaan afiliasi atau induk ke dalam sengketa kontrak, meskipun secara formal tidak tercantum sebagai pihak dalam perjanjian. Fenomena ini memunculkan perdebatan mengenai batas penerapan asas privity of contract dan relevansi doktrin piercing the corporate veil dalam konteks kontrak dagang internasional (Purnomo &amp; Lestari, 2021; Velentina, 2020).</w:t>
      </w:r>
    </w:p>
    <w:p w14:paraId="48BEACC5" w14:textId="77777777" w:rsidR="005B44E9" w:rsidRPr="005B44E9" w:rsidRDefault="005B44E9" w:rsidP="00FF156C">
      <w:pPr>
        <w:pStyle w:val="Heading1"/>
        <w:spacing w:before="0" w:after="240"/>
        <w:rPr>
          <w:rFonts w:eastAsia="Calibri"/>
          <w:b w:val="0"/>
          <w:color w:val="000000"/>
          <w:szCs w:val="20"/>
          <w:lang w:val="sv-SE"/>
        </w:rPr>
      </w:pPr>
      <w:r w:rsidRPr="005B44E9">
        <w:rPr>
          <w:rFonts w:eastAsia="Calibri"/>
          <w:b w:val="0"/>
          <w:color w:val="000000"/>
          <w:szCs w:val="20"/>
          <w:lang w:val="sv-SE"/>
        </w:rPr>
        <w:lastRenderedPageBreak/>
        <w:t>Doktrin piercing the corporate veil pada dasarnya merupakan pengecualian terhadap prinsip kepribadian hukum terpisah (separate legal entity). Doktrin ini memungkinkan pengadilan untuk menembus tabir badan hukum apabila terbukti bahwa bentuk perseroan telah disalahgunakan untuk tujuan yang bertentangan dengan hukum, seperti penipuan, penghindaran kewajiban, atau penyalahgunaan kekuasaan oleh pengendali perusahaan. Dalam konteks hukum perusahaan dan kontrak internasional, penerapan doktrin ini harus dilakukan secara sangat hati-hati, karena penerapan yang terlalu longgar berpotensi merusak prinsip dasar tanggung jawab terbatas yang menjadi fondasi dunia usaha modern. Berbagai kajian mutakhir menunjukkan bahwa pengadilan di banyak negara cenderung restriktif dalam menerapkan doktrin ini, khususnya dalam sengketa kontraktual, kecuali terdapat bukti kuat mengenai fraud atau bad faith (Kurniawan, 2022; McKendrick, 2020).</w:t>
      </w:r>
    </w:p>
    <w:p w14:paraId="79BF1CC9" w14:textId="77777777" w:rsidR="005B44E9" w:rsidRPr="005B44E9" w:rsidRDefault="005B44E9" w:rsidP="00FF156C">
      <w:pPr>
        <w:pStyle w:val="Heading1"/>
        <w:spacing w:before="0" w:after="240"/>
        <w:rPr>
          <w:rFonts w:eastAsia="Calibri"/>
          <w:b w:val="0"/>
          <w:color w:val="000000"/>
          <w:szCs w:val="20"/>
          <w:lang w:val="sv-SE"/>
        </w:rPr>
      </w:pPr>
      <w:r w:rsidRPr="005B44E9">
        <w:rPr>
          <w:rFonts w:eastAsia="Calibri"/>
          <w:b w:val="0"/>
          <w:color w:val="000000"/>
          <w:szCs w:val="20"/>
          <w:lang w:val="sv-SE"/>
        </w:rPr>
        <w:t>Di Indonesia, permasalahan tersebut tercermin secara nyata dalam Putusan Mahkamah Agung Republik Indonesia Nomor 2992 K/Pdt/2015. Perkara ini berawal dari sengketa kontrak internasional berupa Agreement for Supply Equipment antara PT National Sago Prima dan PT Ion Exchange Indonesia, dengan nilai kontrak yang sangat signifikan dan menggunakan mata uang asing. Sengketa timbul akibat tuduhan wanprestasi berupa keterlambatan penyelesaian pekerjaan oleh pihak tergugat. Namun, kompleksitas perkara meningkat ketika penggugat berupaya menarik dua entitas asing yang masih berada dalam satu grup perusahaan, yakni PT Ion Exchange Malaysia dan Ion Exchange India, ke dalam sengketa, meskipun keduanya tidak pernah menandatangani perjanjian tersebut. Upaya ini secara langsung menantang penerapan asas privity of contract serta membuka ruang diskusi mengenai batas tanggung jawab dalam struktur grup perusahaan internasional.</w:t>
      </w:r>
    </w:p>
    <w:p w14:paraId="74856AB1" w14:textId="77777777" w:rsidR="005B44E9" w:rsidRPr="005B44E9" w:rsidRDefault="005B44E9" w:rsidP="00FF156C">
      <w:pPr>
        <w:pStyle w:val="Heading1"/>
        <w:spacing w:before="0" w:after="240"/>
        <w:rPr>
          <w:rFonts w:eastAsia="Calibri"/>
          <w:b w:val="0"/>
          <w:color w:val="000000"/>
          <w:szCs w:val="20"/>
          <w:lang w:val="sv-SE"/>
        </w:rPr>
      </w:pPr>
      <w:r w:rsidRPr="005B44E9">
        <w:rPr>
          <w:rFonts w:eastAsia="Calibri"/>
          <w:b w:val="0"/>
          <w:color w:val="000000"/>
          <w:szCs w:val="20"/>
          <w:lang w:val="sv-SE"/>
        </w:rPr>
        <w:t>Selain persoalan keterikatan kontraktual, perkara ini juga mengangkat isu penting mengenai kedaulatan moneter (monetary sovereignty). Dalam praktik perdagangan internasional, penggunaan mata uang asing—khususnya Dolar Amerika Serikat—merupakan hal yang lazim, baik sebagai alat pembayaran maupun sebagai satuan nilai kontrak. Namun, ketika sengketa tersebut diperiksa dan dieksekusi oleh pengadilan nasional, timbul pertanyaan mengenai mata uang apa yang seharusnya digunakan dalam pelaksanaan putusan. Indonesia, melalui Undang-Undang Nomor 7 Tahun 2011 tentang Mata Uang, secara tegas mewajibkan penggunaan Rupiah dalam setiap transaksi pembayaran dan pelaksanaan putusan pengadilan di wilayah Negara Kesatuan Republik Indonesia. Ketentuan ini mencerminkan komitmen negara dalam menjaga stabilitas dan kedaulatan sistem moneter nasional. Sejumlah penelitian terkini menegaskan bahwa kebijakan semacam ini merupakan praktik yang lazim dan sah dalam hukum internasional, selama tidak meniadakan substansi hak para pihak dalam kontrak (Siregar &amp; Putri, 2020; Nugroho, 2023).</w:t>
      </w:r>
    </w:p>
    <w:p w14:paraId="7147ED92" w14:textId="5AC627C8" w:rsidR="005B44E9" w:rsidRPr="005B44E9" w:rsidRDefault="005B44E9" w:rsidP="00FF156C">
      <w:pPr>
        <w:pStyle w:val="Heading1"/>
        <w:spacing w:before="0" w:after="240"/>
        <w:rPr>
          <w:rFonts w:eastAsia="Calibri"/>
          <w:b w:val="0"/>
          <w:color w:val="000000"/>
          <w:szCs w:val="20"/>
          <w:lang w:val="sv-SE"/>
        </w:rPr>
      </w:pPr>
      <w:r w:rsidRPr="005B44E9">
        <w:rPr>
          <w:rFonts w:eastAsia="Calibri"/>
          <w:b w:val="0"/>
          <w:color w:val="000000"/>
          <w:szCs w:val="20"/>
          <w:lang w:val="sv-SE"/>
        </w:rPr>
        <w:t>Aspek lain yang tidak kalah penting dalam putusan tersebut adalah penilaian Mahkamah Agung terhadap pembelaan exceptio non adimpleti contractus dalam konteks wanprestasi. Doktrin ini memberikan hak kepada salah satu pihak dalam perjanjian timbal balik untuk menunda pemenuhan kewajibannya apabila pihak lawan terlebih dahulu tidak melaksanakan kewajibannya. Meskipun diakui dalam doktrin hukum kontrak, penerapan pembelaan ini menuntut pembuktian yang ketat, khususnya mengenai hubungan kausal antara kelalaian pihak lawan dan ketidakmampuan pihak tergugat untuk melaksanakan prestasinya. Literatur hukum terbaru menunjukkan kecenderungan pengadilan untuk tidak menerima pembelaan ini secara otomatis, melainkan menempatkan beban pembuktian yang berat pada pihak yang mengajukannya demi menjaga prinsip pacta sunt servanda dan itikad baik dalam kontra</w:t>
      </w:r>
      <w:r>
        <w:rPr>
          <w:rFonts w:eastAsia="Calibri"/>
          <w:b w:val="0"/>
          <w:color w:val="000000"/>
          <w:szCs w:val="20"/>
          <w:lang w:val="sv-SE"/>
        </w:rPr>
        <w:t>k (Rahman, 2021; Santoso, 2024).</w:t>
      </w:r>
    </w:p>
    <w:p w14:paraId="179ECB1C" w14:textId="77777777" w:rsidR="005B44E9" w:rsidRDefault="005B44E9" w:rsidP="00FF156C">
      <w:pPr>
        <w:pStyle w:val="Heading1"/>
        <w:spacing w:before="0" w:after="240"/>
        <w:rPr>
          <w:rFonts w:eastAsia="Calibri"/>
          <w:b w:val="0"/>
          <w:color w:val="000000"/>
          <w:szCs w:val="20"/>
          <w:lang w:val="sv-SE"/>
        </w:rPr>
      </w:pPr>
      <w:r w:rsidRPr="005B44E9">
        <w:rPr>
          <w:rFonts w:eastAsia="Calibri"/>
          <w:b w:val="0"/>
          <w:color w:val="000000"/>
          <w:szCs w:val="20"/>
          <w:lang w:val="sv-SE"/>
        </w:rPr>
        <w:t>Dengan demikian, Putusan Mahkamah Agung Nomor 2992 K/Pdt/2015 tidak dapat dipandang sekadar sebagai penyelesaian sengketa bisnis biasa. Putusan ini memiliki signifikansi yang lebih luas karena memberikan penegasan operasional terhadap penerapan asas privity of contract, pembatasan doktrin piercing the corporate veil, penegakan kedaulatan moneter melalui konversi mata uang, serta standar pembuktian dalam wanprestasi kontrak internasional. Oleh karena itu, analisis yuridis terhadap putusan ini menjadi relevan dan penting, baik dari perspektif akademik maupun praktis, guna memberikan kontribusi terhadap pengembangan hukum dagang internasional di Indonesia serta memberikan pedoman bagi pelaku usaha dan praktisi hukum dalam merancang dan melaksanakan kontrak lintas negara di masa mendatang.</w:t>
      </w:r>
    </w:p>
    <w:p w14:paraId="19F807EC" w14:textId="41E2ACF7" w:rsidR="006802FA" w:rsidRPr="00FF156C" w:rsidRDefault="006802FA" w:rsidP="00FF156C">
      <w:pPr>
        <w:pStyle w:val="ListParagraph"/>
        <w:numPr>
          <w:ilvl w:val="0"/>
          <w:numId w:val="16"/>
        </w:numPr>
        <w:spacing w:before="240"/>
        <w:ind w:left="284" w:hanging="284"/>
        <w:rPr>
          <w:b/>
          <w:bCs/>
        </w:rPr>
      </w:pPr>
      <w:proofErr w:type="spellStart"/>
      <w:r w:rsidRPr="00FF156C">
        <w:rPr>
          <w:b/>
          <w:bCs/>
        </w:rPr>
        <w:t>Metode</w:t>
      </w:r>
      <w:proofErr w:type="spellEnd"/>
      <w:r w:rsidRPr="00FF156C">
        <w:rPr>
          <w:b/>
          <w:bCs/>
        </w:rPr>
        <w:t xml:space="preserve"> </w:t>
      </w:r>
      <w:proofErr w:type="spellStart"/>
      <w:r w:rsidRPr="00FF156C">
        <w:rPr>
          <w:b/>
          <w:bCs/>
        </w:rPr>
        <w:t>Penelitian</w:t>
      </w:r>
      <w:proofErr w:type="spellEnd"/>
    </w:p>
    <w:p w14:paraId="40259769" w14:textId="46513913" w:rsidR="00052385" w:rsidRDefault="00052385" w:rsidP="00FF156C">
      <w:pPr>
        <w:rPr>
          <w:color w:val="000000"/>
          <w:szCs w:val="20"/>
          <w:lang w:val="sv-SE"/>
        </w:rPr>
      </w:pPr>
      <w:bookmarkStart w:id="0" w:name="_Hlk67818453"/>
      <w:r w:rsidRPr="00052385">
        <w:rPr>
          <w:color w:val="000000"/>
          <w:szCs w:val="20"/>
          <w:lang w:val="sv-SE"/>
        </w:rPr>
        <w:t>Penelitian ini menggunakan metode yuridis normatif, yaitu metode penelitian hukum yang menitikberatkan pada pengkajian norma, asas, kaidah, dan doktrin hukum yang berlaku. Pendekatan yang digunakan meliputi:</w:t>
      </w:r>
    </w:p>
    <w:p w14:paraId="350762B9" w14:textId="77777777" w:rsidR="00FF156C" w:rsidRPr="00052385" w:rsidRDefault="00FF156C" w:rsidP="00FF156C">
      <w:pPr>
        <w:rPr>
          <w:color w:val="000000"/>
          <w:szCs w:val="20"/>
          <w:lang w:val="sv-SE"/>
        </w:rPr>
      </w:pPr>
    </w:p>
    <w:p w14:paraId="7B43B31C" w14:textId="77777777" w:rsidR="00052385" w:rsidRPr="00052385" w:rsidRDefault="00052385" w:rsidP="00FF156C">
      <w:pPr>
        <w:rPr>
          <w:b/>
          <w:color w:val="000000"/>
          <w:szCs w:val="20"/>
          <w:lang w:val="sv-SE"/>
        </w:rPr>
      </w:pPr>
      <w:r w:rsidRPr="00052385">
        <w:rPr>
          <w:b/>
          <w:color w:val="000000"/>
          <w:szCs w:val="20"/>
          <w:lang w:val="sv-SE"/>
        </w:rPr>
        <w:lastRenderedPageBreak/>
        <w:t>Pendekatan Perundang-Undangan (</w:t>
      </w:r>
      <w:r w:rsidRPr="00052385">
        <w:rPr>
          <w:b/>
          <w:i/>
          <w:color w:val="000000"/>
          <w:szCs w:val="20"/>
          <w:lang w:val="sv-SE"/>
        </w:rPr>
        <w:t>statute approach</w:t>
      </w:r>
      <w:r w:rsidRPr="00052385">
        <w:rPr>
          <w:b/>
          <w:color w:val="000000"/>
          <w:szCs w:val="20"/>
          <w:lang w:val="sv-SE"/>
        </w:rPr>
        <w:t>)</w:t>
      </w:r>
    </w:p>
    <w:p w14:paraId="3C480166" w14:textId="77777777" w:rsidR="005B44E9" w:rsidRPr="005B44E9" w:rsidRDefault="005B44E9" w:rsidP="00FF156C">
      <w:pPr>
        <w:rPr>
          <w:color w:val="000000"/>
          <w:szCs w:val="20"/>
          <w:lang w:val="sv-SE"/>
        </w:rPr>
      </w:pPr>
      <w:r w:rsidRPr="005B44E9">
        <w:rPr>
          <w:color w:val="000000"/>
          <w:szCs w:val="20"/>
          <w:lang w:val="sv-SE"/>
        </w:rPr>
        <w:t>Pendekatan perundang-undangan (statute approach) digunakan untuk menelaah dan menafsirkan norma-norma hukum positif yang menjadi dasar penyelesaian sengketa kontrak dagang internasional dalam Putusan Mahkamah Agung Nomor 2992 K/Pdt/2015. Pendekatan ini berfokus pada pengkajian peraturan perundang-undangan yang relevan, baik yang bersifat umum maupun khusus, guna mengidentifikasi asas hukum, kaidah normatif, serta keterkaitannya dengan penerapan hukum oleh hakim dalam memutus perkara.</w:t>
      </w:r>
    </w:p>
    <w:p w14:paraId="5B4981ED" w14:textId="77777777" w:rsidR="005B44E9" w:rsidRPr="005B44E9" w:rsidRDefault="005B44E9" w:rsidP="00FF156C">
      <w:pPr>
        <w:rPr>
          <w:color w:val="000000"/>
          <w:szCs w:val="20"/>
          <w:lang w:val="sv-SE"/>
        </w:rPr>
      </w:pPr>
      <w:r w:rsidRPr="005B44E9">
        <w:rPr>
          <w:color w:val="000000"/>
          <w:szCs w:val="20"/>
          <w:lang w:val="sv-SE"/>
        </w:rPr>
        <w:t>Dalam penelitian ini, kajian utama diarahkan pada ketentuan Kitab Undang-Undang Hukum Perdata (KUHPerdata) sebagai sumber hukum perikatan di Indonesia. Pasal 1320 KUHPerdata digunakan untuk menganalisis syarat sahnya perjanjian, khususnya terkait adanya kesepakatan para pihak dan kecakapan bertindak yang menentukan siapa saja yang secara hukum terikat dalam suatu kontrak. Selanjutnya, Pasal 1338 KUHPerdata dijadikan dasar untuk menelaah prinsip pacta sunt servanda, yang menegaskan bahwa setiap perjanjian yang dibuat secara sah berlaku sebagai undang-undang bagi para pihak yang membuatnya. Prinsip ini menjadi pijakan utama dalam menilai kewajiban pelaksanaan kontrak serta konsekuensi hukum dari wanprestasi. Selain itu, Pasal 1340 KUHPerdata dianalisis secara khusus untuk menegaskan penerapan asas privity of contract, yakni bahwa perjanjian hanya menimbulkan hak dan kewajiban bagi para pihak yang secara langsung mengikatkan diri di dalamnya.</w:t>
      </w:r>
    </w:p>
    <w:p w14:paraId="5B3BA712" w14:textId="77777777" w:rsidR="005B44E9" w:rsidRPr="005B44E9" w:rsidRDefault="005B44E9" w:rsidP="00FF156C">
      <w:pPr>
        <w:rPr>
          <w:color w:val="000000"/>
          <w:szCs w:val="20"/>
          <w:lang w:val="sv-SE"/>
        </w:rPr>
      </w:pPr>
      <w:r w:rsidRPr="005B44E9">
        <w:rPr>
          <w:color w:val="000000"/>
          <w:szCs w:val="20"/>
          <w:lang w:val="sv-SE"/>
        </w:rPr>
        <w:t>Selain KUHPerdata, penelitian ini juga menelaah Undang-Undang Nomor 7 Tahun 2011 tentang Mata Uang sebagai regulasi khusus yang mencerminkan prinsip kedaulatan moneter negara. Pasal 21 ayat (1) undang-undang tersebut dianalisis untuk memahami kewajiban penggunaan Rupiah dalam setiap transaksi pembayaran dan penyelesaian kewajiban yang dilakukan di wilayah Negara Kesatuan Republik Indonesia. Lebih lanjut, Pasal 23 ayat (1) dijadikan dasar normatif untuk menilai keabsahan perintah pengadilan terkait konversi kewajiban pembayaran dari mata uang asing ke Rupiah dalam pelaksanaan putusan yang berkekuatan hukum tetap. Analisis terhadap ketentuan ini penting untuk menilai konsistensi pertimbangan Mahkamah Agung dalam menyeimbangkan kebebasan berkontrak para pihak dengan ketentuan hukum nasional yang bersifat memaksa (mandatory rules).</w:t>
      </w:r>
    </w:p>
    <w:p w14:paraId="06D7D151" w14:textId="77777777" w:rsidR="005B44E9" w:rsidRPr="005B44E9" w:rsidRDefault="005B44E9" w:rsidP="00FF156C">
      <w:pPr>
        <w:rPr>
          <w:color w:val="000000"/>
          <w:szCs w:val="20"/>
          <w:lang w:val="sv-SE"/>
        </w:rPr>
      </w:pPr>
      <w:r w:rsidRPr="005B44E9">
        <w:rPr>
          <w:color w:val="000000"/>
          <w:szCs w:val="20"/>
          <w:lang w:val="sv-SE"/>
        </w:rPr>
        <w:t>Pendekatan perundang-undangan dalam penelitian ini juga mencakup penelaahan terhadap regulasi lain yang relevan dengan transaksi dalam valuta asing dan pelaksanaan kontrak internasional, termasuk peraturan pelaksana yang dikeluarkan oleh Bank Indonesia terkait penggunaan mata uang asing dalam transaksi tertentu serta kebijakan hukum yang mengatur pelaksanaan putusan pengadilan di bidang perdata. Penelaahan tersebut dilakukan untuk memahami batas-batas normatif yang dapat diberlakukan terhadap kontrak internasional tanpa menghilangkan substansi hak dan kewajiban para pihak.</w:t>
      </w:r>
    </w:p>
    <w:p w14:paraId="6F3B3793" w14:textId="445AC1E1" w:rsidR="00052385" w:rsidRPr="00052385" w:rsidRDefault="005B44E9" w:rsidP="00FF156C">
      <w:pPr>
        <w:rPr>
          <w:color w:val="000000"/>
          <w:szCs w:val="20"/>
          <w:lang w:val="sv-SE"/>
        </w:rPr>
      </w:pPr>
      <w:r w:rsidRPr="005B44E9">
        <w:rPr>
          <w:color w:val="000000"/>
          <w:szCs w:val="20"/>
          <w:lang w:val="sv-SE"/>
        </w:rPr>
        <w:t>Melalui pendekatan ini, penelitian tidak hanya menginventarisasi ketentuan peraturan perundang-undangan yang berlaku, tetapi juga menempatkannya dalam kerangka sistem hukum secara utuh. Dengan demikian, statute approach berfungsi untuk menilai apakah pertimbangan hukum Mahkamah Agung dalam Putusan Nomor 2992 K/Pdt/2015 telah selaras dengan hierarki peraturan perundang-undangan, asas-asas hukum perjanjian, serta tujuan pembentukan undang-undang. Pendekatan ini sekaligus memberikan landasan normatif yang kuat dalam menganalisis konsistensi penerapan hukum nasional terhadap sengketa kontrak dagang internasional yang melibatkan unsur asing.</w:t>
      </w:r>
    </w:p>
    <w:p w14:paraId="3CB96BD2" w14:textId="77777777" w:rsidR="00052385" w:rsidRPr="00052385" w:rsidRDefault="00052385" w:rsidP="00FF156C">
      <w:pPr>
        <w:rPr>
          <w:b/>
          <w:color w:val="000000"/>
          <w:szCs w:val="20"/>
          <w:lang w:val="sv-SE"/>
        </w:rPr>
      </w:pPr>
      <w:r w:rsidRPr="00052385">
        <w:rPr>
          <w:b/>
          <w:color w:val="000000"/>
          <w:szCs w:val="20"/>
          <w:lang w:val="sv-SE"/>
        </w:rPr>
        <w:t>Pendekatan Kasus (</w:t>
      </w:r>
      <w:r w:rsidRPr="00052385">
        <w:rPr>
          <w:b/>
          <w:i/>
          <w:color w:val="000000"/>
          <w:szCs w:val="20"/>
          <w:lang w:val="sv-SE"/>
        </w:rPr>
        <w:t>case approach</w:t>
      </w:r>
      <w:r w:rsidRPr="00052385">
        <w:rPr>
          <w:b/>
          <w:color w:val="000000"/>
          <w:szCs w:val="20"/>
          <w:lang w:val="sv-SE"/>
        </w:rPr>
        <w:t>)</w:t>
      </w:r>
    </w:p>
    <w:p w14:paraId="03D62214" w14:textId="77777777" w:rsidR="005B44E9" w:rsidRPr="005B44E9" w:rsidRDefault="005B44E9" w:rsidP="00FF156C">
      <w:pPr>
        <w:rPr>
          <w:color w:val="000000"/>
          <w:szCs w:val="20"/>
          <w:lang w:val="sv-SE"/>
        </w:rPr>
      </w:pPr>
      <w:r w:rsidRPr="005B44E9">
        <w:rPr>
          <w:color w:val="000000"/>
          <w:szCs w:val="20"/>
          <w:lang w:val="sv-SE"/>
        </w:rPr>
        <w:t>Pendekatan kasus (case approach) digunakan untuk menganalisis secara mendalam Putusan Mahkamah Agung Republik Indonesia Nomor 2992 K/Pdt/2015 sebagai objek utama penelitian. Pendekatan ini menempatkan putusan pengadilan bukan sekadar sebagai hasil akhir dari proses peradilan, melainkan sebagai sumber hukum yang mengandung argumentasi yuridis, penafsiran norma, serta penerapan asas-asas hukum yang relevan dalam penyelesaian sengketa kontrak dagang internasional.</w:t>
      </w:r>
    </w:p>
    <w:p w14:paraId="3CAEC4C2" w14:textId="77777777" w:rsidR="005B44E9" w:rsidRPr="005B44E9" w:rsidRDefault="005B44E9" w:rsidP="00FF156C">
      <w:pPr>
        <w:rPr>
          <w:color w:val="000000"/>
          <w:szCs w:val="20"/>
          <w:lang w:val="sv-SE"/>
        </w:rPr>
      </w:pPr>
      <w:r w:rsidRPr="005B44E9">
        <w:rPr>
          <w:color w:val="000000"/>
          <w:szCs w:val="20"/>
          <w:lang w:val="sv-SE"/>
        </w:rPr>
        <w:t xml:space="preserve">Analisis dalam pendekatan kasus difokuskan pada pengkajian ratio decidendi atau alasan hukum utama yang menjadi dasar pertimbangan Majelis Hakim dalam menjatuhkan putusan. Penelitian ini mengidentifikasi dan menafsirkan argumentasi hukum yang digunakan Mahkamah Agung dalam menegakkan asas privity of contract, membatasi penerapan doktrin piercing the corporate veil, serta menilai kedudukan para pihak dalam struktur grup </w:t>
      </w:r>
      <w:r w:rsidRPr="005B44E9">
        <w:rPr>
          <w:color w:val="000000"/>
          <w:szCs w:val="20"/>
          <w:lang w:val="sv-SE"/>
        </w:rPr>
        <w:lastRenderedPageBreak/>
        <w:t>perusahaan multinasional. Dengan menelusuri ratio decidendi, penelitian berupaya memahami pola penalaran hukum yang digunakan hakim dalam mengaitkan fakta perkara dengan norma hukum yang berlaku.</w:t>
      </w:r>
    </w:p>
    <w:p w14:paraId="16B29E5B" w14:textId="77777777" w:rsidR="005B44E9" w:rsidRPr="005B44E9" w:rsidRDefault="005B44E9" w:rsidP="00FF156C">
      <w:pPr>
        <w:rPr>
          <w:color w:val="000000"/>
          <w:szCs w:val="20"/>
          <w:lang w:val="sv-SE"/>
        </w:rPr>
      </w:pPr>
      <w:r w:rsidRPr="005B44E9">
        <w:rPr>
          <w:color w:val="000000"/>
          <w:szCs w:val="20"/>
          <w:lang w:val="sv-SE"/>
        </w:rPr>
        <w:t>Selain ratio decidendi, penelitian ini juga menganalisis secara komprehensif bagian pertimbangan hukum (considerans) putusan, termasuk penilaian terhadap alat bukti, dalil para pihak, serta argumentasi hukum yang diajukan dalam tingkat judex facti dan judex juris. Analisis ini penting untuk melihat bagaimana Mahkamah Agung menilai konsistensi antara fakta hukum yang terungkap di persidangan dengan ketentuan peraturan perundang-undangan dan doktrin hukum yang relevan. Melalui pendekatan ini, dapat diketahui sejauh mana pertimbangan Mahkamah Agung mencerminkan prinsip kehati-hatian dan kepastian hukum dalam sengketa kontrak internasional.</w:t>
      </w:r>
    </w:p>
    <w:p w14:paraId="70D3347F" w14:textId="77777777" w:rsidR="005B44E9" w:rsidRPr="005B44E9" w:rsidRDefault="005B44E9" w:rsidP="00FF156C">
      <w:pPr>
        <w:rPr>
          <w:color w:val="000000"/>
          <w:szCs w:val="20"/>
          <w:lang w:val="sv-SE"/>
        </w:rPr>
      </w:pPr>
      <w:r w:rsidRPr="005B44E9">
        <w:rPr>
          <w:color w:val="000000"/>
          <w:szCs w:val="20"/>
          <w:lang w:val="sv-SE"/>
        </w:rPr>
        <w:t>Pendekatan kasus juga digunakan untuk mengkaji penerapan asas-asas hukum yang bersifat fundamental, seperti asas pacta sunt servanda, asas itikad baik, asas privity of contract, serta prinsip kedaulatan moneter dalam konteks konversi mata uang asing. Dengan menelaah bagaimana asas-asas tersebut dioperasionalkan dalam putusan, penelitian ini dapat menilai konsistensi penerapan hukum oleh Mahkamah Agung serta relevansinya terhadap praktik kontrak dagang internasional di Indonesia.</w:t>
      </w:r>
    </w:p>
    <w:p w14:paraId="05A8FCD8" w14:textId="77777777" w:rsidR="005B44E9" w:rsidRPr="005B44E9" w:rsidRDefault="005B44E9" w:rsidP="00FF156C">
      <w:pPr>
        <w:rPr>
          <w:color w:val="000000"/>
          <w:szCs w:val="20"/>
          <w:lang w:val="sv-SE"/>
        </w:rPr>
      </w:pPr>
      <w:r w:rsidRPr="005B44E9">
        <w:rPr>
          <w:color w:val="000000"/>
          <w:szCs w:val="20"/>
          <w:lang w:val="sv-SE"/>
        </w:rPr>
        <w:t>Lebih lanjut, pendekatan kasus dalam penelitian ini tidak hanya bersifat deskriptif, tetapi juga evaluatif dan kritis. Putusan Mahkamah Agung dianalisis sebagai preseden yudisial yang berpotensi menjadi rujukan bagi perkara-perkara serupa di masa mendatang. Oleh karena itu, penelitian ini menilai implikasi normatif dan praktis dari Putusan Nomor 2992 K/Pdt/2015 terhadap perkembangan hukum kontrak internasional dan praktik peradilan di Indonesia, khususnya dalam menghadapi sengketa yang melibatkan pihak asing dan transaksi lintas negara.</w:t>
      </w:r>
    </w:p>
    <w:p w14:paraId="306A1F5F" w14:textId="60913873" w:rsidR="00052385" w:rsidRPr="00052385" w:rsidRDefault="005B44E9" w:rsidP="00FF156C">
      <w:pPr>
        <w:rPr>
          <w:color w:val="000000"/>
          <w:szCs w:val="20"/>
          <w:lang w:val="sv-SE"/>
        </w:rPr>
      </w:pPr>
      <w:r w:rsidRPr="005B44E9">
        <w:rPr>
          <w:color w:val="000000"/>
          <w:szCs w:val="20"/>
          <w:lang w:val="sv-SE"/>
        </w:rPr>
        <w:t>Dengan menggunakan pendekatan kasus secara mendalam, penelitian ini diharapkan mampu memberikan gambaran yang utuh mengenai pola penafsiran dan penerapan hukum oleh Mahkamah Agung, sekaligus memperkuat argumentasi penelitian dalam menjawab rumusan masalah yang telah ditetapkan.</w:t>
      </w:r>
      <w:r w:rsidR="00052385" w:rsidRPr="00052385">
        <w:rPr>
          <w:color w:val="000000"/>
          <w:szCs w:val="20"/>
          <w:lang w:val="sv-SE"/>
        </w:rPr>
        <w:t xml:space="preserve"> </w:t>
      </w:r>
    </w:p>
    <w:p w14:paraId="0A834F44" w14:textId="77777777" w:rsidR="00052385" w:rsidRPr="00052385" w:rsidRDefault="00052385" w:rsidP="00FF156C">
      <w:pPr>
        <w:rPr>
          <w:b/>
          <w:color w:val="000000"/>
          <w:szCs w:val="20"/>
          <w:lang w:val="sv-SE"/>
        </w:rPr>
      </w:pPr>
      <w:r w:rsidRPr="00052385">
        <w:rPr>
          <w:b/>
          <w:color w:val="000000"/>
          <w:szCs w:val="20"/>
          <w:lang w:val="sv-SE"/>
        </w:rPr>
        <w:t>Pendekatan Konseptual (</w:t>
      </w:r>
      <w:r w:rsidRPr="00052385">
        <w:rPr>
          <w:b/>
          <w:i/>
          <w:color w:val="000000"/>
          <w:szCs w:val="20"/>
          <w:lang w:val="sv-SE"/>
        </w:rPr>
        <w:t>conceptual approach</w:t>
      </w:r>
      <w:r w:rsidRPr="00052385">
        <w:rPr>
          <w:b/>
          <w:color w:val="000000"/>
          <w:szCs w:val="20"/>
          <w:lang w:val="sv-SE"/>
        </w:rPr>
        <w:t>)</w:t>
      </w:r>
    </w:p>
    <w:p w14:paraId="38E25C3E" w14:textId="77777777" w:rsidR="005B44E9" w:rsidRPr="005B44E9" w:rsidRDefault="005B44E9" w:rsidP="00FF156C">
      <w:pPr>
        <w:rPr>
          <w:color w:val="000000"/>
          <w:szCs w:val="20"/>
          <w:lang w:val="sv-SE"/>
        </w:rPr>
      </w:pPr>
      <w:r w:rsidRPr="005B44E9">
        <w:rPr>
          <w:color w:val="000000"/>
          <w:szCs w:val="20"/>
          <w:lang w:val="sv-SE"/>
        </w:rPr>
        <w:t>Pendekatan konseptual (conceptual approach) digunakan untuk mengkaji dan membangun pemahaman teoretis terhadap konsep-konsep hukum yang menjadi landasan utama dalam analisis sengketa kontrak dagang internasional sebagaimana tercermin dalam Putusan Mahkamah Agung Nomor 2992 K/Pdt/2015. Pendekatan ini berangkat dari doktrin hukum dan pemikiran para sarjana (doctrine-driven approach) yang berfungsi untuk menafsirkan, mengklarifikasi, serta menguji penerapan konsep hukum dalam praktik peradilan.</w:t>
      </w:r>
    </w:p>
    <w:p w14:paraId="27748DD6" w14:textId="77777777" w:rsidR="005B44E9" w:rsidRPr="005B44E9" w:rsidRDefault="005B44E9" w:rsidP="00FF156C">
      <w:pPr>
        <w:rPr>
          <w:color w:val="000000"/>
          <w:szCs w:val="20"/>
          <w:lang w:val="sv-SE"/>
        </w:rPr>
      </w:pPr>
      <w:r w:rsidRPr="005B44E9">
        <w:rPr>
          <w:color w:val="000000"/>
          <w:szCs w:val="20"/>
          <w:lang w:val="sv-SE"/>
        </w:rPr>
        <w:t>Dalam penelitian ini, pendekatan konseptual difokuskan pada beberapa konsep kunci dalam hukum kontrak internasional. Pertama, konsep privity of contract dikaji sebagai asas fundamental yang menentukan batas keterikatan kontraktual para pihak. Analisis konseptual terhadap asas ini digunakan untuk menilai legitimasi yuridis penolakan Mahkamah Agung terhadap upaya menarik pihak asing non-penandatangan kontrak ke dalam sengketa, serta untuk memahami posisi asas tersebut dalam sistem hukum perjanjian Indonesia dan praktik internasional.</w:t>
      </w:r>
    </w:p>
    <w:p w14:paraId="5ED57B18" w14:textId="77777777" w:rsidR="005B44E9" w:rsidRPr="005B44E9" w:rsidRDefault="005B44E9" w:rsidP="00FF156C">
      <w:pPr>
        <w:rPr>
          <w:color w:val="000000"/>
          <w:szCs w:val="20"/>
          <w:lang w:val="sv-SE"/>
        </w:rPr>
      </w:pPr>
      <w:r w:rsidRPr="005B44E9">
        <w:rPr>
          <w:color w:val="000000"/>
          <w:szCs w:val="20"/>
          <w:lang w:val="sv-SE"/>
        </w:rPr>
        <w:t>Kedua, konsep piercing the corporate veil dianalisis sebagai doktrin pengecualian terhadap prinsip kepribadian hukum terpisah (separate legal entity). Pendekatan konseptual terhadap doktrin ini bertujuan untuk mengidentifikasi syarat-syarat teoretis dan batasan penerapannya, khususnya dalam konteks sengketa kontrak internasional yang melibatkan struktur grup perusahaan multinasional. Melalui kajian doktrinal, penelitian ini menilai apakah pertimbangan Mahkamah Agung selaras dengan teori dan praktik umum dalam hukum perusahaan dan hukum kontrak internasional.</w:t>
      </w:r>
    </w:p>
    <w:p w14:paraId="37D0387C" w14:textId="77777777" w:rsidR="005B44E9" w:rsidRPr="005B44E9" w:rsidRDefault="005B44E9" w:rsidP="00FF156C">
      <w:pPr>
        <w:rPr>
          <w:color w:val="000000"/>
          <w:szCs w:val="20"/>
          <w:lang w:val="sv-SE"/>
        </w:rPr>
      </w:pPr>
      <w:r w:rsidRPr="005B44E9">
        <w:rPr>
          <w:color w:val="000000"/>
          <w:szCs w:val="20"/>
          <w:lang w:val="sv-SE"/>
        </w:rPr>
        <w:t>Ketiga, konsep monetary sovereignty atau kedaulatan moneter dikaji untuk memahami dasar teoretis kewenangan negara dalam mengatur penggunaan mata uang nasional, termasuk dalam pelaksanaan putusan pengadilan yang menyangkut kewajiban pembayaran dalam valuta asing. Analisis konseptual terhadap prinsip ini digunakan untuk menilai rasionalitas dan legitimasi penerapan Undang-Undang Nomor 7 Tahun 2011 tentang Mata Uang oleh Mahkamah Agung, serta untuk menempatkan putusan tersebut dalam kerangka hubungan antara kebebasan berkontrak dan ketentuan hukum nasional yang bersifat memaksa (mandatory rules).</w:t>
      </w:r>
    </w:p>
    <w:p w14:paraId="712CA1E1" w14:textId="77777777" w:rsidR="005B44E9" w:rsidRPr="005B44E9" w:rsidRDefault="005B44E9" w:rsidP="00FF156C">
      <w:pPr>
        <w:rPr>
          <w:color w:val="000000"/>
          <w:szCs w:val="20"/>
          <w:lang w:val="sv-SE"/>
        </w:rPr>
      </w:pPr>
      <w:r w:rsidRPr="005B44E9">
        <w:rPr>
          <w:color w:val="000000"/>
          <w:szCs w:val="20"/>
          <w:lang w:val="sv-SE"/>
        </w:rPr>
        <w:lastRenderedPageBreak/>
        <w:t>Keempat, doktrin exceptio non adimpleti contractus dianalisis sebagai mekanisme pembelaan dalam perjanjian timbal balik yang berkaitan erat dengan prinsip itikad baik dan keseimbangan prestasi para pihak. Pendekatan konseptual terhadap doktrin ini digunakan untuk menilai standar pembuktian yang diterapkan Mahkamah Agung dalam menilai pembelaan wanprestasi, serta untuk menguji konsistensi penerapannya dengan teori hukum kontrak yang berkembang dalam literatur nasional dan internasional.</w:t>
      </w:r>
    </w:p>
    <w:p w14:paraId="567A6779" w14:textId="77777777" w:rsidR="005B44E9" w:rsidRPr="005B44E9" w:rsidRDefault="005B44E9" w:rsidP="00FF156C">
      <w:pPr>
        <w:rPr>
          <w:color w:val="000000"/>
          <w:szCs w:val="20"/>
          <w:lang w:val="sv-SE"/>
        </w:rPr>
      </w:pPr>
      <w:r w:rsidRPr="005B44E9">
        <w:rPr>
          <w:color w:val="000000"/>
          <w:szCs w:val="20"/>
          <w:lang w:val="sv-SE"/>
        </w:rPr>
        <w:t>Pengumpulan bahan hukum dalam pendekatan konseptual ini dilakukan melalui penelusuran bahan hukum primer, sekunder, dan tersier. Bahan hukum primer meliputi peraturan perundang-undangan dan putusan pengadilan yang relevan. Bahan hukum sekunder diperoleh dari literatur akademik berupa buku teks, jurnal ilmiah, dan hasil penelitian terdahulu yang membahas hukum kontrak internasional dan hukum perusahaan. Adapun bahan hukum tersier mencakup kamus hukum, ensiklopedia hukum, serta komentar para ahli yang digunakan untuk memperjelas istilah dan konsep hukum yang dianalisis.</w:t>
      </w:r>
    </w:p>
    <w:p w14:paraId="06609B77" w14:textId="2B6A1691" w:rsidR="00052385" w:rsidRPr="00052385" w:rsidRDefault="005B44E9" w:rsidP="00FF156C">
      <w:pPr>
        <w:rPr>
          <w:color w:val="000000"/>
          <w:szCs w:val="20"/>
          <w:lang w:val="sv-SE"/>
        </w:rPr>
      </w:pPr>
      <w:r w:rsidRPr="005B44E9">
        <w:rPr>
          <w:color w:val="000000"/>
          <w:szCs w:val="20"/>
          <w:lang w:val="sv-SE"/>
        </w:rPr>
        <w:t>Melalui pendekatan konseptual ini, penelitian tidak hanya bersifat deskriptif terhadap putusan pengadilan, tetapi juga bersifat analitis dan evaluatif. Pendekatan ini memungkinkan penilaian kritis terhadap kesesuaian antara penerapan hukum oleh Mahkamah Agung dengan kerangka konseptual dan doktrinal yang berlaku, sehingga memperkuat argumentasi penelitian dalam menjelaskan implikasi teoretis dan praktis dari Putusan Mahkamah Agung Nomor 2992 K/Pdt/2015 terhadap perkembangan hukum dagang internasional di Indonesia.</w:t>
      </w:r>
    </w:p>
    <w:p w14:paraId="326B919B" w14:textId="77F9FDF0" w:rsidR="006802FA" w:rsidRPr="006802FA" w:rsidRDefault="00052385" w:rsidP="00FF156C">
      <w:pPr>
        <w:rPr>
          <w:color w:val="000000"/>
          <w:szCs w:val="20"/>
          <w:lang w:val="sv-SE"/>
        </w:rPr>
      </w:pPr>
      <w:r w:rsidRPr="00052385">
        <w:rPr>
          <w:color w:val="000000"/>
          <w:szCs w:val="20"/>
          <w:lang w:val="sv-SE"/>
        </w:rPr>
        <w:t>Metode yuridis normatif ini dipilih karena mampu memberikan landasan analitis yang kuat dalam memahami konsistensi penerapan hukum oleh Mahkamah Agung serta relevansinya terhadap praktik kontrak dagang internasional di Indonesia.</w:t>
      </w:r>
      <w:r w:rsidR="006802FA" w:rsidRPr="006802FA">
        <w:rPr>
          <w:i/>
          <w:iCs/>
          <w:szCs w:val="20"/>
          <w:lang w:val="sv-SE"/>
        </w:rPr>
        <w:t xml:space="preserve"> </w:t>
      </w:r>
    </w:p>
    <w:bookmarkEnd w:id="0"/>
    <w:p w14:paraId="63BDB289" w14:textId="51B148B3" w:rsidR="006802FA" w:rsidRPr="00FF156C" w:rsidRDefault="006802FA" w:rsidP="00FF156C">
      <w:pPr>
        <w:pStyle w:val="ListParagraph"/>
        <w:numPr>
          <w:ilvl w:val="0"/>
          <w:numId w:val="16"/>
        </w:numPr>
        <w:spacing w:before="240"/>
        <w:ind w:left="284" w:hanging="284"/>
        <w:rPr>
          <w:b/>
          <w:bCs/>
        </w:rPr>
      </w:pPr>
      <w:r w:rsidRPr="00FF156C">
        <w:rPr>
          <w:b/>
          <w:bCs/>
        </w:rPr>
        <w:t xml:space="preserve">Hasil dan </w:t>
      </w:r>
      <w:proofErr w:type="spellStart"/>
      <w:r w:rsidRPr="00FF156C">
        <w:rPr>
          <w:b/>
          <w:bCs/>
        </w:rPr>
        <w:t>Diskusi</w:t>
      </w:r>
      <w:proofErr w:type="spellEnd"/>
    </w:p>
    <w:p w14:paraId="1951F21B" w14:textId="31CC912C" w:rsidR="00C03780" w:rsidRPr="00C03780" w:rsidRDefault="00C03780" w:rsidP="00FF156C">
      <w:pPr>
        <w:ind w:left="426" w:hanging="426"/>
        <w:rPr>
          <w:b/>
          <w:color w:val="000000"/>
          <w:lang w:val="sv-SE"/>
        </w:rPr>
      </w:pPr>
      <w:bookmarkStart w:id="1" w:name="_Hlk67818599"/>
      <w:r w:rsidRPr="00C03780">
        <w:rPr>
          <w:b/>
          <w:color w:val="000000"/>
          <w:lang w:val="sv-SE"/>
        </w:rPr>
        <w:t xml:space="preserve">3.1. Penerapan </w:t>
      </w:r>
      <w:r w:rsidRPr="0093742B">
        <w:rPr>
          <w:b/>
          <w:i/>
          <w:iCs/>
          <w:color w:val="000000"/>
          <w:lang w:val="sv-SE"/>
        </w:rPr>
        <w:t>Asas Privity of Contract</w:t>
      </w:r>
      <w:r w:rsidRPr="00C03780">
        <w:rPr>
          <w:b/>
          <w:color w:val="000000"/>
          <w:lang w:val="sv-SE"/>
        </w:rPr>
        <w:t xml:space="preserve"> dan Batasan </w:t>
      </w:r>
      <w:r w:rsidRPr="0093742B">
        <w:rPr>
          <w:b/>
          <w:i/>
          <w:iCs/>
          <w:color w:val="000000"/>
          <w:lang w:val="sv-SE"/>
        </w:rPr>
        <w:t>Piercing the Corporate Veil</w:t>
      </w:r>
      <w:r w:rsidRPr="00C03780">
        <w:rPr>
          <w:b/>
          <w:color w:val="000000"/>
          <w:lang w:val="sv-SE"/>
        </w:rPr>
        <w:t xml:space="preserve"> dalam Struktur Grup</w:t>
      </w:r>
      <w:r w:rsidR="00FF156C">
        <w:rPr>
          <w:b/>
          <w:color w:val="000000"/>
          <w:lang w:val="sv-SE"/>
        </w:rPr>
        <w:t xml:space="preserve"> </w:t>
      </w:r>
      <w:r w:rsidRPr="00C03780">
        <w:rPr>
          <w:b/>
          <w:color w:val="000000"/>
          <w:lang w:val="sv-SE"/>
        </w:rPr>
        <w:t>Perusahaan Internasional</w:t>
      </w:r>
    </w:p>
    <w:p w14:paraId="75A08412" w14:textId="77777777" w:rsidR="00C03780" w:rsidRDefault="00C03780" w:rsidP="00FF156C">
      <w:pPr>
        <w:rPr>
          <w:color w:val="000000"/>
          <w:lang w:val="sv-SE"/>
        </w:rPr>
      </w:pPr>
      <w:r w:rsidRPr="00C03780">
        <w:rPr>
          <w:color w:val="000000"/>
          <w:lang w:val="sv-SE"/>
        </w:rPr>
        <w:t xml:space="preserve">Asas </w:t>
      </w:r>
      <w:r w:rsidRPr="0093742B">
        <w:rPr>
          <w:i/>
          <w:iCs/>
          <w:color w:val="000000"/>
          <w:lang w:val="sv-SE"/>
        </w:rPr>
        <w:t>privity of contract</w:t>
      </w:r>
      <w:r w:rsidRPr="00C03780">
        <w:rPr>
          <w:color w:val="000000"/>
          <w:lang w:val="sv-SE"/>
        </w:rPr>
        <w:t xml:space="preserve"> atau dalam literatur hukum Belanda sering disebut sebagai </w:t>
      </w:r>
      <w:r w:rsidRPr="0093742B">
        <w:rPr>
          <w:i/>
          <w:iCs/>
          <w:color w:val="000000"/>
          <w:lang w:val="sv-SE"/>
        </w:rPr>
        <w:t>relativiteit van overeenkomsten</w:t>
      </w:r>
      <w:r w:rsidRPr="00C03780">
        <w:rPr>
          <w:color w:val="000000"/>
          <w:lang w:val="sv-SE"/>
        </w:rPr>
        <w:t>, merupakan prinsip sentral dalam hukum perjanjian yang menegaskan bahwa suatu perjanjian hanya menimbulkan hak dan kewajiban bagi para pihak yang membuatnya.  Prinsip ini secara tegas diatur dalam Pasal 1340 Kitab Undang-Undang Hukum Perdata (KUHPerdata) yang menyatakan, "Perjanjian-perjanjian hanya berlaku antara pihak yang membuatnya."  Dalam konteks Putusan MA No. 2992 K/Pdt/2015, penerapan asas ini diuji ketika Penggugat berusaha memperluas tanggung jawab kontraktual tidak hanya kepada PT Ion Exchange Indonesia sebagai penandatangan, tetapi juga kepada entitas afiliasinya di Malaysia dan India.</w:t>
      </w:r>
    </w:p>
    <w:p w14:paraId="6EE1EF71" w14:textId="77777777" w:rsidR="00C03780" w:rsidRDefault="00C03780" w:rsidP="00FF156C">
      <w:pPr>
        <w:rPr>
          <w:color w:val="000000"/>
          <w:lang w:val="sv-SE"/>
        </w:rPr>
      </w:pPr>
      <w:r w:rsidRPr="00C03780">
        <w:rPr>
          <w:color w:val="000000"/>
          <w:lang w:val="sv-SE"/>
        </w:rPr>
        <w:t>Mahkamah Agung, dalam pertimbangan hukumnya, secara konsisten dan teguh memegang prinsip ini. Majelis Hakim berpendapat bahwa karena PT Ion Exchange Malaysia dan Ion Exchange India tidak menandatangani Agreement for Supply Equipment tanggal 26 Agustus 2010, maka mereka tidak dapat diikat oleh ketentuan-ketentuan dalam perjanjian tersebut, apalagi sampai dihadapkan sebagai Tergugat dan Turut Tergugat dalam sengketa wanprestasi ini.  Keputusan ini mencerminkan pendekatan formal yang kuat, di mana kepribadian hukum masing-masing perusahaan (</w:t>
      </w:r>
      <w:r w:rsidRPr="0093742B">
        <w:rPr>
          <w:i/>
          <w:iCs/>
          <w:color w:val="000000"/>
          <w:lang w:val="sv-SE"/>
        </w:rPr>
        <w:t>corporate legal personality</w:t>
      </w:r>
      <w:r w:rsidRPr="00C03780">
        <w:rPr>
          <w:color w:val="000000"/>
          <w:lang w:val="sv-SE"/>
        </w:rPr>
        <w:t>) yang terpisah dianggap sebagai suatu realitas hukum yang harus dihormati. Dalam dunia bisnis modern yang ditandai dengan struktur grup perusahaan yang kompleks, pendekatan ini memberikan kepastian hukum. Setiap entitas dalam grup diperlakukan sebagai subjek hukum yang independen, sehingga risiko kontraktual satu entitas tidak serta-merta menjadi beban entitas lainnya hanya karena keduanya berada di bawah kend</w:t>
      </w:r>
      <w:r>
        <w:rPr>
          <w:color w:val="000000"/>
          <w:lang w:val="sv-SE"/>
        </w:rPr>
        <w:t>ali induk perusahaan yang sama.</w:t>
      </w:r>
    </w:p>
    <w:p w14:paraId="534AC708" w14:textId="77777777" w:rsidR="00C03780" w:rsidRDefault="00C03780" w:rsidP="00FF156C">
      <w:pPr>
        <w:rPr>
          <w:color w:val="000000"/>
          <w:lang w:val="sv-SE"/>
        </w:rPr>
      </w:pPr>
      <w:r w:rsidRPr="00C03780">
        <w:rPr>
          <w:color w:val="000000"/>
          <w:lang w:val="sv-SE"/>
        </w:rPr>
        <w:t>Penegasan MA ini sekaligus membatasi ruang gerak penerapan doktrin "</w:t>
      </w:r>
      <w:r w:rsidRPr="0093742B">
        <w:rPr>
          <w:i/>
          <w:iCs/>
          <w:color w:val="000000"/>
          <w:lang w:val="sv-SE"/>
        </w:rPr>
        <w:t>piercing the corporate veil</w:t>
      </w:r>
      <w:r w:rsidRPr="00C03780">
        <w:rPr>
          <w:color w:val="000000"/>
          <w:lang w:val="sv-SE"/>
        </w:rPr>
        <w:t>" atau "</w:t>
      </w:r>
      <w:r w:rsidRPr="0093742B">
        <w:rPr>
          <w:i/>
          <w:iCs/>
          <w:color w:val="000000"/>
          <w:lang w:val="sv-SE"/>
        </w:rPr>
        <w:t>doorprikken van de rechtspersoon</w:t>
      </w:r>
      <w:r w:rsidRPr="00C03780">
        <w:rPr>
          <w:color w:val="000000"/>
          <w:lang w:val="sv-SE"/>
        </w:rPr>
        <w:t>" dalam ranah hukum kontrak. Doktrin ini pada dasarnya merupakan pengecualian dari prinsip keterpisahan kepribadian hukum, yang memungkinkan pengadilan untuk mengabaikan formalitas badan hukum dan menuntut pertanggungjawaban kepada pihak di belakangnya (seperti pemegang saham atau perusahaan induk), biasanya dalam situasi dimana terdapat indikasi penyalahgunaan badan hukum untuk tujuan penipuan (fraud), penyesatan (misrepresentation), atau untuk menghin</w:t>
      </w:r>
      <w:r>
        <w:rPr>
          <w:color w:val="000000"/>
          <w:lang w:val="sv-SE"/>
        </w:rPr>
        <w:t>dari kewajiban hukum yang sah.</w:t>
      </w:r>
    </w:p>
    <w:p w14:paraId="1DE60746" w14:textId="77777777" w:rsidR="00C03780" w:rsidRDefault="00C03780" w:rsidP="00FF156C">
      <w:pPr>
        <w:rPr>
          <w:color w:val="000000"/>
          <w:lang w:val="sv-SE"/>
        </w:rPr>
      </w:pPr>
      <w:r>
        <w:rPr>
          <w:color w:val="000000"/>
          <w:lang w:val="sv-SE"/>
        </w:rPr>
        <w:t>D</w:t>
      </w:r>
      <w:r w:rsidRPr="00C03780">
        <w:rPr>
          <w:color w:val="000000"/>
          <w:lang w:val="sv-SE"/>
        </w:rPr>
        <w:t>alam perkara ini, Penggugat barangkali berargumen bahwa ketiga entitas Ion Exchange tersebut pada hakikatnya merupakan satu kesatuan ekonomi (</w:t>
      </w:r>
      <w:r w:rsidRPr="0093742B">
        <w:rPr>
          <w:i/>
          <w:iCs/>
          <w:color w:val="000000"/>
          <w:lang w:val="sv-SE"/>
        </w:rPr>
        <w:t>single economic entity</w:t>
      </w:r>
      <w:r w:rsidRPr="00C03780">
        <w:rPr>
          <w:color w:val="000000"/>
          <w:lang w:val="sv-SE"/>
        </w:rPr>
        <w:t xml:space="preserve">) sehingga tanggung jawab Tergugat I seharusnya dapat </w:t>
      </w:r>
      <w:r w:rsidRPr="00C03780">
        <w:rPr>
          <w:color w:val="000000"/>
          <w:lang w:val="sv-SE"/>
        </w:rPr>
        <w:lastRenderedPageBreak/>
        <w:t>dibebankan juga kepada afiliasinya. Namun, Mahkamah Agung tampaknya tidak menemukan bukti yang cukup kuat yang menunjukkan bahwa PT Ion Exchange Indonesia didirikan atau dijalankan dengan itikad buruk semata-mata untuk menipu kreditur, atau bahwa terdapat penyalahgunaan bentuk hukum secara dominan dan sistematis.  Tanpa adanya elemen penipuan atau penyalahgunaan yang nyata, MA memilih untuk tidak "menus</w:t>
      </w:r>
      <w:r>
        <w:rPr>
          <w:color w:val="000000"/>
          <w:lang w:val="sv-SE"/>
        </w:rPr>
        <w:t xml:space="preserve">uk" tabir perusahaan tersebut. </w:t>
      </w:r>
    </w:p>
    <w:p w14:paraId="3F418EE1" w14:textId="77777777" w:rsidR="00C03780" w:rsidRDefault="00C03780" w:rsidP="00FF156C">
      <w:pPr>
        <w:rPr>
          <w:color w:val="000000"/>
          <w:lang w:val="sv-SE"/>
        </w:rPr>
      </w:pPr>
      <w:r w:rsidRPr="00C03780">
        <w:rPr>
          <w:color w:val="000000"/>
          <w:lang w:val="sv-SE"/>
        </w:rPr>
        <w:t xml:space="preserve">Putusan ini mengisyaratkan bahwa dalam hukum kontrak Indonesia, </w:t>
      </w:r>
      <w:r w:rsidRPr="0093742B">
        <w:rPr>
          <w:color w:val="000000"/>
          <w:lang w:val="sv-SE"/>
        </w:rPr>
        <w:t>doktrin</w:t>
      </w:r>
      <w:r w:rsidRPr="0093742B">
        <w:rPr>
          <w:i/>
          <w:iCs/>
          <w:color w:val="000000"/>
          <w:lang w:val="sv-SE"/>
        </w:rPr>
        <w:t xml:space="preserve"> piercing the corporate veil</w:t>
      </w:r>
      <w:r w:rsidRPr="00C03780">
        <w:rPr>
          <w:color w:val="000000"/>
          <w:lang w:val="sv-SE"/>
        </w:rPr>
        <w:t xml:space="preserve"> tidak dapat diterapkan secara mudah hanya dengan alasan keterkaitan ekonomi atau operasional dalam satu grup perusahaan. Hal ini sejalan dengan prinsip kehati-hatian dalam penerapan doktrin tersebut, yang bertujuan untuk tidak mengikis prinsip fundamental kepribadian hukum terbatas yang menjadi </w:t>
      </w:r>
      <w:r>
        <w:rPr>
          <w:color w:val="000000"/>
          <w:lang w:val="sv-SE"/>
        </w:rPr>
        <w:t>pondasi dunia korporasi modern.</w:t>
      </w:r>
    </w:p>
    <w:p w14:paraId="6BA771A7" w14:textId="77777777" w:rsidR="00C03780" w:rsidRDefault="00C03780" w:rsidP="00FF156C">
      <w:pPr>
        <w:rPr>
          <w:color w:val="000000"/>
          <w:lang w:val="sv-SE"/>
        </w:rPr>
      </w:pPr>
      <w:r w:rsidRPr="00C03780">
        <w:rPr>
          <w:color w:val="000000"/>
          <w:lang w:val="sv-SE"/>
        </w:rPr>
        <w:t xml:space="preserve">Namun, menarik untuk dicatat bahwa di tengah penegasan </w:t>
      </w:r>
      <w:r w:rsidRPr="0093742B">
        <w:rPr>
          <w:i/>
          <w:iCs/>
          <w:color w:val="000000"/>
          <w:lang w:val="sv-SE"/>
        </w:rPr>
        <w:t>privity of contract</w:t>
      </w:r>
      <w:r w:rsidRPr="00C03780">
        <w:rPr>
          <w:color w:val="000000"/>
          <w:lang w:val="sv-SE"/>
        </w:rPr>
        <w:t xml:space="preserve"> terhadap substansi perikatan, Mahkamah Agung justru mengukuhkan kewenangan Pengadilan Negeri Jakarta Selatan untuk mengadili perkara ini. Kewenangan ini didasarkan pada klausul </w:t>
      </w:r>
      <w:r w:rsidRPr="0093742B">
        <w:rPr>
          <w:i/>
          <w:iCs/>
          <w:color w:val="000000"/>
          <w:lang w:val="sv-SE"/>
        </w:rPr>
        <w:t>choice of forum</w:t>
      </w:r>
      <w:r w:rsidRPr="00C03780">
        <w:rPr>
          <w:color w:val="000000"/>
          <w:lang w:val="sv-SE"/>
        </w:rPr>
        <w:t xml:space="preserve"> atau pilihan forum yang tercantum dalam kontrak.  Klausul semacam ini, yang merupakan hal lazim dalam kontrak internasional, pada dasarnya adalah perjanjian para pihak untuk menunjuk suatu pengadilan atau forum arbitrase tertentu yang akan menyelesaikan sengketa yang mungkin timbul. Dengan mengakui dan memberlakukan klausul ini, MA menunjukkan penghormatan terhadap otonomi para pihak (party autonomy) dalam hukum perjanjian internasional. </w:t>
      </w:r>
    </w:p>
    <w:p w14:paraId="1567A9AF" w14:textId="11C015AC" w:rsidR="00C03780" w:rsidRPr="00C03780" w:rsidRDefault="00C03780" w:rsidP="00FF156C">
      <w:pPr>
        <w:rPr>
          <w:color w:val="000000"/>
          <w:lang w:val="sv-SE"/>
        </w:rPr>
      </w:pPr>
      <w:r w:rsidRPr="00C03780">
        <w:rPr>
          <w:color w:val="000000"/>
          <w:lang w:val="sv-SE"/>
        </w:rPr>
        <w:t xml:space="preserve">Dengan demikian, putusan ini menciptakan sebuah paradigma yang jelas: dari sudut pandang substansi, hanya penandatangan kontrak yang terikat; tetapi dari sudut pandang acara, klausul prosedural dalam kontrak (seperti </w:t>
      </w:r>
      <w:r w:rsidRPr="0093742B">
        <w:rPr>
          <w:i/>
          <w:iCs/>
          <w:color w:val="000000"/>
          <w:lang w:val="sv-SE"/>
        </w:rPr>
        <w:t>choice of forum</w:t>
      </w:r>
      <w:r w:rsidRPr="00C03780">
        <w:rPr>
          <w:color w:val="000000"/>
          <w:lang w:val="sv-SE"/>
        </w:rPr>
        <w:t>) mengikat para penandatangan dan menjadi dasar yang sah bagi pengadilan Indonesia untuk memeriksa sengketa. Hal ini memperkuat posisi hukum Indonesia sebagai forum yang dapat diandalkan untuk menyelesaikan sengketa kontrak internasional, selama para pihak secara sukarela telah memilihnya.</w:t>
      </w:r>
    </w:p>
    <w:p w14:paraId="5CF78886" w14:textId="77777777" w:rsidR="00C03780" w:rsidRDefault="00C03780" w:rsidP="00FF156C">
      <w:pPr>
        <w:rPr>
          <w:b/>
          <w:color w:val="000000"/>
          <w:lang w:val="sv-SE"/>
        </w:rPr>
      </w:pPr>
      <w:r w:rsidRPr="00C03780">
        <w:rPr>
          <w:b/>
          <w:color w:val="000000"/>
          <w:lang w:val="sv-SE"/>
        </w:rPr>
        <w:t>3.2. Kedaulatan Moneter, Konversi Valuta Asing, dan Din</w:t>
      </w:r>
      <w:r>
        <w:rPr>
          <w:b/>
          <w:color w:val="000000"/>
          <w:lang w:val="sv-SE"/>
        </w:rPr>
        <w:t>amika Pembuktian Wanprestasi</w:t>
      </w:r>
    </w:p>
    <w:p w14:paraId="20D5CB25" w14:textId="77777777" w:rsidR="00C03780" w:rsidRDefault="00C03780" w:rsidP="00FF156C">
      <w:pPr>
        <w:rPr>
          <w:b/>
          <w:color w:val="000000"/>
          <w:lang w:val="sv-SE"/>
        </w:rPr>
      </w:pPr>
      <w:r w:rsidRPr="00C03780">
        <w:rPr>
          <w:color w:val="000000"/>
          <w:lang w:val="sv-SE"/>
        </w:rPr>
        <w:t>Selain aspek keterikatan kontrak, Putusan MA No. 2992 K/Pdt/2015 juga memberikan pencerahan penting mengenai dua aspek materiil lain yang tak kalah krusial: penegakan kedaulatan moneter melalui konversi mata uang dan penilaian terhadap pembelaan exceptio non adimpleti contractus.</w:t>
      </w:r>
    </w:p>
    <w:p w14:paraId="3FDF4127" w14:textId="77777777" w:rsidR="00C03780" w:rsidRDefault="00C03780" w:rsidP="00FF156C">
      <w:pPr>
        <w:rPr>
          <w:b/>
          <w:color w:val="000000"/>
          <w:lang w:val="sv-SE"/>
        </w:rPr>
      </w:pPr>
      <w:r w:rsidRPr="00C03780">
        <w:rPr>
          <w:color w:val="000000"/>
          <w:lang w:val="sv-SE"/>
        </w:rPr>
        <w:t xml:space="preserve">Pertama, terkait konversi mata uang. Amar putusan MA memerintahkan agar ganti rugi yang dikabulkan, yang semula dituntut dalam Dolar AS, harus dibayarkan dalam Rupiah setelah dilakukan konversi. Keputusan ini bukanlah sekadar langkah administratif atau teknis belaka, melainkan merupakan manifestasi nyata dari prinsip kedaulatan moneter (monetary sovereignty) sebuah negara. Mahkamah Agung secara tegas mendasarkan pertimbangannya pada Undang-Undang No. 7 Tahun 2011 tentang Mata Uang. </w:t>
      </w:r>
    </w:p>
    <w:p w14:paraId="755EEEF9" w14:textId="77777777" w:rsidR="00C03780" w:rsidRDefault="00C03780" w:rsidP="00FF156C">
      <w:pPr>
        <w:rPr>
          <w:b/>
          <w:color w:val="000000"/>
          <w:lang w:val="sv-SE"/>
        </w:rPr>
      </w:pPr>
      <w:r w:rsidRPr="00C03780">
        <w:rPr>
          <w:color w:val="000000"/>
          <w:lang w:val="sv-SE"/>
        </w:rPr>
        <w:t>Pasal 21 ayat (1) UU Mata Uang menyatakan dengan tegas, "Setiap transaksi yang mempunyai tujuan pembayaran, penyelesaian kewajiban lainnya yang harus dipenuhi dengan uang, dan/atau transaksi keuangan lainnya yang dilakukan di dalam Wilayah Negara Kesatuan Republik Indonesia wajib menggunakan Rupiah."  Lebih lanjut, Pasal 23 ayat (1) menegaskan bahwa "Dalam putusan pengadilan yang berkekuatan hukum tetap yang menyangkut pembayaran sejumlah uang, penghitungannya dinyatakan dal</w:t>
      </w:r>
      <w:r>
        <w:rPr>
          <w:color w:val="000000"/>
          <w:lang w:val="sv-SE"/>
        </w:rPr>
        <w:t xml:space="preserve">am Rupiah." </w:t>
      </w:r>
    </w:p>
    <w:p w14:paraId="34D1F970" w14:textId="77777777" w:rsidR="00C03780" w:rsidRDefault="00C03780" w:rsidP="00FF156C">
      <w:pPr>
        <w:rPr>
          <w:b/>
          <w:color w:val="000000"/>
          <w:lang w:val="sv-SE"/>
        </w:rPr>
      </w:pPr>
      <w:r w:rsidRPr="00C03780">
        <w:rPr>
          <w:color w:val="000000"/>
          <w:lang w:val="sv-SE"/>
        </w:rPr>
        <w:t>Dengan berpegang pada ketentuan ini, MA menegaskan supremasi hukum nasional dalam pelaksanaan putusan perdata internasional di wilayah teritorial Indonesia. Putusan ini mengirimkan pesan yang jelas kepada pelaku bisnis internasional bahwa meskipun kontrak dapat dinilai dan dieksekusi dalam mata uang asing untuk kemudahan transaksi, pada akhirnya, ketika eksekusi putusan pengadilan harus dilakukan di Indonesia, hukum moneter Indonesia-lah yang berlaku. Ini adalah bentuk perlindungan kedaulatan ekonomi negara dan sekaligus upaya untuk mengurangi risiko kurs bagi pihak yang akan menerima pembayaran di dalam negeri.  Praktik ini juga sejalan dengan praktik di banyak yurisdiksi lain yang memiliki mata uangnya sendiri, di mana pengadilan domestik akan memerintahkan pembayaran dalam mata uang lokal untuk putusan yang dieksekusi di dalam negeri.</w:t>
      </w:r>
    </w:p>
    <w:p w14:paraId="4DE09D5D" w14:textId="77777777" w:rsidR="00C03780" w:rsidRDefault="00C03780" w:rsidP="00FF156C">
      <w:pPr>
        <w:rPr>
          <w:b/>
          <w:color w:val="000000"/>
          <w:lang w:val="sv-SE"/>
        </w:rPr>
      </w:pPr>
      <w:r w:rsidRPr="00C03780">
        <w:rPr>
          <w:color w:val="000000"/>
          <w:lang w:val="sv-SE"/>
        </w:rPr>
        <w:t xml:space="preserve">Kedua, mengenai beban pembuktian dalam wanprestasi. Dalam perkara ini, Tergugat I mengajukan pembelaan dengan mengemukakan exceptio non adimpleti contractus. Secara sederhana, pembelaan ini adalah suatu tangkisan yang diajukan oleh salah satu pihak dalam perjanjian timbal balik (synallagmatische overeenkomst) bahwa ia tidak wajib memenuhi kewajibannya karena pihak lawan juga belum memenuhi kewajibannya terlebih dahulu.  Dalam konteks ini, Tergugat I mungkin berargumen bahwa mereka tidak dapat disalahkan atas keterlambatan karena </w:t>
      </w:r>
      <w:r w:rsidRPr="00C03780">
        <w:rPr>
          <w:color w:val="000000"/>
          <w:lang w:val="sv-SE"/>
        </w:rPr>
        <w:lastRenderedPageBreak/>
        <w:t>Penggugat sendiri telah lalai dalam memenuhi suatu kewajiban tertentu (misalnya, menyediakan akses lokasi atau pembayaran termin tertentu) yang menjadi prasyarat bagi pemenuhan kewajiban Tergugat I.</w:t>
      </w:r>
    </w:p>
    <w:p w14:paraId="3AD1123C" w14:textId="77777777" w:rsidR="00C03780" w:rsidRDefault="00C03780" w:rsidP="00FF156C">
      <w:pPr>
        <w:rPr>
          <w:b/>
          <w:color w:val="000000"/>
          <w:lang w:val="sv-SE"/>
        </w:rPr>
      </w:pPr>
      <w:r w:rsidRPr="00C03780">
        <w:rPr>
          <w:color w:val="000000"/>
          <w:lang w:val="sv-SE"/>
        </w:rPr>
        <w:t>Namun, Mahkamah Agung tidak serta-merta menerima pembelaan ini. Pertimbangan MA mengindikasikan bahwa beban pembuktian untuk membebaskan diri dari tuduhan wanprestasi tetap dibebankan secara mutlak kepada pihak yang dituduh, dalam hal ini Tergugat I.  Artinya, Tergugat I tidak cukup hanya menyatakan bahwa Penggugat juga lalai. Mereka harus membuktikan secara konkret: (a) bahwa memang terdapat kewajiban spesifik Penggugat yang tidak dipenuhi; (b) bahwa kelalaian Penggugat tersebut terjadi lebih dahulu atau bersamaan; dan (c) yang paling penting, bahwa terdapat hubungan kausal (causal link) yang langsung dan nyata antara kelalaian Penggugat dengan kegagalan Tergugat I dalam memenuhi kewajiban kont</w:t>
      </w:r>
      <w:r>
        <w:rPr>
          <w:color w:val="000000"/>
          <w:lang w:val="sv-SE"/>
        </w:rPr>
        <w:t xml:space="preserve">raktualnya tepat waktu. </w:t>
      </w:r>
    </w:p>
    <w:p w14:paraId="4C3167B3" w14:textId="2A1788F1" w:rsidR="006802FA" w:rsidRPr="00C03780" w:rsidRDefault="00C03780" w:rsidP="00FF156C">
      <w:pPr>
        <w:rPr>
          <w:b/>
          <w:color w:val="000000"/>
          <w:lang w:val="sv-SE"/>
        </w:rPr>
      </w:pPr>
      <w:r w:rsidRPr="00C03780">
        <w:rPr>
          <w:color w:val="000000"/>
          <w:lang w:val="sv-SE"/>
        </w:rPr>
        <w:t>Pendekatan MA ini sangat penting karena mencegah pihak yang wanprestasi untuk dengan mudah "cuci tangan" hanya dengan menuding pihak lawan. Putusan ini menegaskan bahwa masing-masing pihak dalam kontrak memiliki kewajiban independen yang harus dipenuhi dengan itikad baik. Kelalaian satu pihak tidak serta-merta menjadi alasan pembenar (justification) bagi pihak lain untuk melalaikan kewajibannya, melainkan hanya dapat menjadi pertimbangan untuk mengurangi atau memodifikasi besarnya tanggung jawab, itupun harus dibuktikan dengan kuat. Dengan demikian, putusan ini pada dasarnya memperkuat prinsip pacta sunt servanda (perjanjian harus dipatuhi) dengan menempatkan beban pembuktian yang berat pada pihak yang diduga melanggarnya.</w:t>
      </w:r>
    </w:p>
    <w:bookmarkEnd w:id="1"/>
    <w:p w14:paraId="2839BBC6" w14:textId="77777777" w:rsidR="00FF156C" w:rsidRDefault="006802FA" w:rsidP="00FF156C">
      <w:pPr>
        <w:pStyle w:val="ListParagraph"/>
        <w:numPr>
          <w:ilvl w:val="0"/>
          <w:numId w:val="16"/>
        </w:numPr>
        <w:spacing w:before="240"/>
        <w:ind w:left="284" w:hanging="284"/>
        <w:rPr>
          <w:b/>
          <w:bCs/>
        </w:rPr>
      </w:pPr>
      <w:r w:rsidRPr="00FF156C">
        <w:rPr>
          <w:b/>
          <w:bCs/>
        </w:rPr>
        <w:t>Kesimpulan</w:t>
      </w:r>
    </w:p>
    <w:p w14:paraId="733FDE1F" w14:textId="7FA634AD" w:rsidR="006802FA" w:rsidRPr="00FF156C" w:rsidRDefault="00C03780" w:rsidP="00FF156C">
      <w:pPr>
        <w:rPr>
          <w:b/>
          <w:bCs/>
        </w:rPr>
      </w:pPr>
      <w:r w:rsidRPr="00FF156C">
        <w:rPr>
          <w:color w:val="000000"/>
          <w:szCs w:val="20"/>
          <w:lang w:val="sv-SE"/>
        </w:rPr>
        <w:t xml:space="preserve">Berdasarkan uraian yang telah dipaparkan, dapat disimpulkan bahwa Putusan Mahkamah Agung No. 2992 K/Pdt/2015 merupakan landmark ruling yang memberikan kepastian dan pencerahan hukum dalam menyikapi sengketa kontrak dagang internasional. </w:t>
      </w:r>
      <w:r w:rsidRPr="00C03780">
        <w:rPr>
          <w:color w:val="000000"/>
          <w:szCs w:val="20"/>
          <w:lang w:val="sv-SE"/>
        </w:rPr>
        <w:t xml:space="preserve">Pertama, putusan ini secara konsisten dan berani menegakkan asas </w:t>
      </w:r>
      <w:r w:rsidRPr="0093742B">
        <w:rPr>
          <w:i/>
          <w:iCs/>
          <w:color w:val="000000"/>
          <w:szCs w:val="20"/>
          <w:lang w:val="sv-SE"/>
        </w:rPr>
        <w:t>privity of contract</w:t>
      </w:r>
      <w:r w:rsidRPr="00C03780">
        <w:rPr>
          <w:color w:val="000000"/>
          <w:szCs w:val="20"/>
          <w:lang w:val="sv-SE"/>
        </w:rPr>
        <w:t>, dengan menolak menarik pihak asing non-penandatangan ke dalam sengketa. Hal ini memperkuat prinsip kepribadian hukum terpisah (</w:t>
      </w:r>
      <w:r w:rsidRPr="0093742B">
        <w:rPr>
          <w:i/>
          <w:iCs/>
          <w:color w:val="000000"/>
          <w:szCs w:val="20"/>
          <w:lang w:val="sv-SE"/>
        </w:rPr>
        <w:t>separate legal entity</w:t>
      </w:r>
      <w:r w:rsidRPr="00C03780">
        <w:rPr>
          <w:color w:val="000000"/>
          <w:szCs w:val="20"/>
          <w:lang w:val="sv-SE"/>
        </w:rPr>
        <w:t>) bagi setiap perusahaan dalam suatu grup, sekaligus membatasi penerapan doktrin piercing the corporate veil hanya untuk kasus-kasus dengan indikasi penyalahgunaan atau penipuan yang sangat kuat, dan tidak untuk sekad</w:t>
      </w:r>
      <w:r>
        <w:rPr>
          <w:color w:val="000000"/>
          <w:szCs w:val="20"/>
          <w:lang w:val="sv-SE"/>
        </w:rPr>
        <w:t xml:space="preserve">ar alasan keterkaitan ekonomi. </w:t>
      </w:r>
      <w:r w:rsidRPr="00C03780">
        <w:rPr>
          <w:color w:val="000000"/>
          <w:szCs w:val="20"/>
          <w:lang w:val="sv-SE"/>
        </w:rPr>
        <w:t>Kedua, putusan ini dengan tegas menegaskan kedaulatan moneter Indonesia melalui penerapan UU Mata Uang, dengan mewajibkan konversi seluruh kewajiban ganti rugi ke dalam Rupiah untuk tu</w:t>
      </w:r>
      <w:r>
        <w:rPr>
          <w:color w:val="000000"/>
          <w:szCs w:val="20"/>
          <w:lang w:val="sv-SE"/>
        </w:rPr>
        <w:t>juan eksekusi di dalam negeri.</w:t>
      </w:r>
      <w:r w:rsidR="00FF156C">
        <w:rPr>
          <w:color w:val="000000"/>
          <w:szCs w:val="20"/>
          <w:lang w:val="sv-SE"/>
        </w:rPr>
        <w:t xml:space="preserve"> </w:t>
      </w:r>
      <w:r w:rsidRPr="00C03780">
        <w:rPr>
          <w:color w:val="000000"/>
          <w:szCs w:val="20"/>
          <w:lang w:val="sv-SE"/>
        </w:rPr>
        <w:t xml:space="preserve">Ketiga, dalam hal pembuktian wanprestasi, putusan ini menempatkan beban pembuktian yang berat pada pihak yang dituduh wanprestasi, dan tidak mudah menerima pembelaan </w:t>
      </w:r>
      <w:r w:rsidRPr="0093742B">
        <w:rPr>
          <w:i/>
          <w:iCs/>
          <w:color w:val="000000"/>
          <w:szCs w:val="20"/>
          <w:lang w:val="sv-SE"/>
        </w:rPr>
        <w:t>exceptio non adimpleti contractus</w:t>
      </w:r>
      <w:r w:rsidRPr="00C03780">
        <w:rPr>
          <w:color w:val="000000"/>
          <w:szCs w:val="20"/>
          <w:lang w:val="sv-SE"/>
        </w:rPr>
        <w:t xml:space="preserve"> tanpa disertai bukti yang kuat mengenai kausalitas kelalaian pihak lawan. Secara keseluruhan, putusan ini berhasil menciptakan keseimbangan antara menghormati prinsip-prinsip hukum kontrak internasional dan sekaligus menegakkan ketentuan hukum nasional yang bersifat memaksa, sehingga menjadi pedoman berharga bagi dunia usaha dan praktik peradilan di Indonesia.</w:t>
      </w:r>
    </w:p>
    <w:p w14:paraId="74394E9C" w14:textId="77777777" w:rsidR="006802FA" w:rsidRPr="00CA2057" w:rsidRDefault="006802FA" w:rsidP="00FF156C">
      <w:pPr>
        <w:pStyle w:val="Heading1"/>
        <w:tabs>
          <w:tab w:val="left" w:pos="284"/>
        </w:tabs>
        <w:spacing w:before="0" w:after="240"/>
      </w:pPr>
      <w:proofErr w:type="spellStart"/>
      <w:r w:rsidRPr="006A7A66">
        <w:t>Referensi</w:t>
      </w:r>
      <w:proofErr w:type="spellEnd"/>
    </w:p>
    <w:p w14:paraId="282C383F"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r w:rsidRPr="00FF156C">
        <w:rPr>
          <w:sz w:val="16"/>
          <w:szCs w:val="16"/>
        </w:rPr>
        <w:t xml:space="preserve">Kitab </w:t>
      </w:r>
      <w:proofErr w:type="spellStart"/>
      <w:r w:rsidRPr="00FF156C">
        <w:rPr>
          <w:sz w:val="16"/>
          <w:szCs w:val="16"/>
        </w:rPr>
        <w:t>Undang-Undang</w:t>
      </w:r>
      <w:proofErr w:type="spellEnd"/>
      <w:r w:rsidRPr="00FF156C">
        <w:rPr>
          <w:sz w:val="16"/>
          <w:szCs w:val="16"/>
        </w:rPr>
        <w:t xml:space="preserve"> Hukum </w:t>
      </w:r>
      <w:proofErr w:type="spellStart"/>
      <w:r w:rsidRPr="00FF156C">
        <w:rPr>
          <w:sz w:val="16"/>
          <w:szCs w:val="16"/>
        </w:rPr>
        <w:t>Perdata</w:t>
      </w:r>
      <w:proofErr w:type="spellEnd"/>
      <w:r w:rsidRPr="00FF156C">
        <w:rPr>
          <w:sz w:val="16"/>
          <w:szCs w:val="16"/>
        </w:rPr>
        <w:t xml:space="preserve"> (</w:t>
      </w:r>
      <w:proofErr w:type="spellStart"/>
      <w:r w:rsidRPr="00FF156C">
        <w:rPr>
          <w:sz w:val="16"/>
          <w:szCs w:val="16"/>
        </w:rPr>
        <w:t>Burgerlijk</w:t>
      </w:r>
      <w:proofErr w:type="spellEnd"/>
      <w:r w:rsidRPr="00FF156C">
        <w:rPr>
          <w:sz w:val="16"/>
          <w:szCs w:val="16"/>
        </w:rPr>
        <w:t xml:space="preserve"> </w:t>
      </w:r>
      <w:proofErr w:type="spellStart"/>
      <w:r w:rsidRPr="00FF156C">
        <w:rPr>
          <w:sz w:val="16"/>
          <w:szCs w:val="16"/>
        </w:rPr>
        <w:t>Wetboek</w:t>
      </w:r>
      <w:proofErr w:type="spellEnd"/>
      <w:r w:rsidRPr="00FF156C">
        <w:rPr>
          <w:sz w:val="16"/>
          <w:szCs w:val="16"/>
        </w:rPr>
        <w:t>).</w:t>
      </w:r>
    </w:p>
    <w:p w14:paraId="437681AF"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Undang-Undang</w:t>
      </w:r>
      <w:proofErr w:type="spellEnd"/>
      <w:r w:rsidRPr="00FF156C">
        <w:rPr>
          <w:sz w:val="16"/>
          <w:szCs w:val="16"/>
        </w:rPr>
        <w:t xml:space="preserve"> </w:t>
      </w:r>
      <w:proofErr w:type="spellStart"/>
      <w:r w:rsidRPr="00FF156C">
        <w:rPr>
          <w:sz w:val="16"/>
          <w:szCs w:val="16"/>
        </w:rPr>
        <w:t>Republik</w:t>
      </w:r>
      <w:proofErr w:type="spellEnd"/>
      <w:r w:rsidRPr="00FF156C">
        <w:rPr>
          <w:sz w:val="16"/>
          <w:szCs w:val="16"/>
        </w:rPr>
        <w:t xml:space="preserve"> Indonesia </w:t>
      </w:r>
      <w:proofErr w:type="spellStart"/>
      <w:r w:rsidRPr="00FF156C">
        <w:rPr>
          <w:sz w:val="16"/>
          <w:szCs w:val="16"/>
        </w:rPr>
        <w:t>Nomor</w:t>
      </w:r>
      <w:proofErr w:type="spellEnd"/>
      <w:r w:rsidRPr="00FF156C">
        <w:rPr>
          <w:sz w:val="16"/>
          <w:szCs w:val="16"/>
        </w:rPr>
        <w:t xml:space="preserve"> 7 </w:t>
      </w:r>
      <w:proofErr w:type="spellStart"/>
      <w:r w:rsidRPr="00FF156C">
        <w:rPr>
          <w:sz w:val="16"/>
          <w:szCs w:val="16"/>
        </w:rPr>
        <w:t>Tahun</w:t>
      </w:r>
      <w:proofErr w:type="spellEnd"/>
      <w:r w:rsidRPr="00FF156C">
        <w:rPr>
          <w:sz w:val="16"/>
          <w:szCs w:val="16"/>
        </w:rPr>
        <w:t xml:space="preserve"> 2011 </w:t>
      </w:r>
      <w:proofErr w:type="spellStart"/>
      <w:r w:rsidRPr="00FF156C">
        <w:rPr>
          <w:sz w:val="16"/>
          <w:szCs w:val="16"/>
        </w:rPr>
        <w:t>tentang</w:t>
      </w:r>
      <w:proofErr w:type="spellEnd"/>
      <w:r w:rsidRPr="00FF156C">
        <w:rPr>
          <w:sz w:val="16"/>
          <w:szCs w:val="16"/>
        </w:rPr>
        <w:t xml:space="preserve"> Mata Uang.</w:t>
      </w:r>
    </w:p>
    <w:p w14:paraId="3459E447"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Putusan</w:t>
      </w:r>
      <w:proofErr w:type="spellEnd"/>
      <w:r w:rsidRPr="00FF156C">
        <w:rPr>
          <w:sz w:val="16"/>
          <w:szCs w:val="16"/>
        </w:rPr>
        <w:t xml:space="preserve"> </w:t>
      </w:r>
      <w:proofErr w:type="spellStart"/>
      <w:r w:rsidRPr="00FF156C">
        <w:rPr>
          <w:sz w:val="16"/>
          <w:szCs w:val="16"/>
        </w:rPr>
        <w:t>Mahkamah</w:t>
      </w:r>
      <w:proofErr w:type="spellEnd"/>
      <w:r w:rsidRPr="00FF156C">
        <w:rPr>
          <w:sz w:val="16"/>
          <w:szCs w:val="16"/>
        </w:rPr>
        <w:t xml:space="preserve"> Agung </w:t>
      </w:r>
      <w:proofErr w:type="spellStart"/>
      <w:r w:rsidRPr="00FF156C">
        <w:rPr>
          <w:sz w:val="16"/>
          <w:szCs w:val="16"/>
        </w:rPr>
        <w:t>Republik</w:t>
      </w:r>
      <w:proofErr w:type="spellEnd"/>
      <w:r w:rsidRPr="00FF156C">
        <w:rPr>
          <w:sz w:val="16"/>
          <w:szCs w:val="16"/>
        </w:rPr>
        <w:t xml:space="preserve"> Indonesia </w:t>
      </w:r>
      <w:proofErr w:type="spellStart"/>
      <w:r w:rsidRPr="00FF156C">
        <w:rPr>
          <w:sz w:val="16"/>
          <w:szCs w:val="16"/>
        </w:rPr>
        <w:t>Nomor</w:t>
      </w:r>
      <w:proofErr w:type="spellEnd"/>
      <w:r w:rsidRPr="00FF156C">
        <w:rPr>
          <w:sz w:val="16"/>
          <w:szCs w:val="16"/>
        </w:rPr>
        <w:t xml:space="preserve"> 2992 K/</w:t>
      </w:r>
      <w:proofErr w:type="spellStart"/>
      <w:r w:rsidRPr="00FF156C">
        <w:rPr>
          <w:sz w:val="16"/>
          <w:szCs w:val="16"/>
        </w:rPr>
        <w:t>Pdt</w:t>
      </w:r>
      <w:proofErr w:type="spellEnd"/>
      <w:r w:rsidRPr="00FF156C">
        <w:rPr>
          <w:sz w:val="16"/>
          <w:szCs w:val="16"/>
        </w:rPr>
        <w:t>/2015.</w:t>
      </w:r>
    </w:p>
    <w:p w14:paraId="77973921"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r w:rsidRPr="00FF156C">
        <w:rPr>
          <w:sz w:val="16"/>
          <w:szCs w:val="16"/>
        </w:rPr>
        <w:t xml:space="preserve">Black, Henry Campbell. </w:t>
      </w:r>
      <w:r w:rsidRPr="00FF156C">
        <w:rPr>
          <w:rStyle w:val="Emphasis"/>
          <w:sz w:val="16"/>
          <w:szCs w:val="16"/>
        </w:rPr>
        <w:t>Black's Law Dictionary</w:t>
      </w:r>
      <w:r w:rsidRPr="00FF156C">
        <w:rPr>
          <w:sz w:val="16"/>
          <w:szCs w:val="16"/>
        </w:rPr>
        <w:t>. Thomson West, 2004.</w:t>
      </w:r>
    </w:p>
    <w:p w14:paraId="7F778FCF"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Sjahdeni</w:t>
      </w:r>
      <w:proofErr w:type="spellEnd"/>
      <w:r w:rsidRPr="00FF156C">
        <w:rPr>
          <w:sz w:val="16"/>
          <w:szCs w:val="16"/>
        </w:rPr>
        <w:t xml:space="preserve">, </w:t>
      </w:r>
      <w:proofErr w:type="spellStart"/>
      <w:r w:rsidRPr="00FF156C">
        <w:rPr>
          <w:sz w:val="16"/>
          <w:szCs w:val="16"/>
        </w:rPr>
        <w:t>Sutan</w:t>
      </w:r>
      <w:proofErr w:type="spellEnd"/>
      <w:r w:rsidRPr="00FF156C">
        <w:rPr>
          <w:sz w:val="16"/>
          <w:szCs w:val="16"/>
        </w:rPr>
        <w:t xml:space="preserve"> Remy. </w:t>
      </w:r>
      <w:proofErr w:type="spellStart"/>
      <w:r w:rsidRPr="00FF156C">
        <w:rPr>
          <w:rStyle w:val="Emphasis"/>
          <w:sz w:val="16"/>
          <w:szCs w:val="16"/>
        </w:rPr>
        <w:t>Kebebasan</w:t>
      </w:r>
      <w:proofErr w:type="spellEnd"/>
      <w:r w:rsidRPr="00FF156C">
        <w:rPr>
          <w:rStyle w:val="Emphasis"/>
          <w:sz w:val="16"/>
          <w:szCs w:val="16"/>
        </w:rPr>
        <w:t xml:space="preserve"> </w:t>
      </w:r>
      <w:proofErr w:type="spellStart"/>
      <w:r w:rsidRPr="00FF156C">
        <w:rPr>
          <w:rStyle w:val="Emphasis"/>
          <w:sz w:val="16"/>
          <w:szCs w:val="16"/>
        </w:rPr>
        <w:t>Berkontrak</w:t>
      </w:r>
      <w:proofErr w:type="spellEnd"/>
      <w:r w:rsidRPr="00FF156C">
        <w:rPr>
          <w:rStyle w:val="Emphasis"/>
          <w:sz w:val="16"/>
          <w:szCs w:val="16"/>
        </w:rPr>
        <w:t xml:space="preserve"> dan </w:t>
      </w:r>
      <w:proofErr w:type="spellStart"/>
      <w:r w:rsidRPr="00FF156C">
        <w:rPr>
          <w:rStyle w:val="Emphasis"/>
          <w:sz w:val="16"/>
          <w:szCs w:val="16"/>
        </w:rPr>
        <w:t>Perlindungan</w:t>
      </w:r>
      <w:proofErr w:type="spellEnd"/>
      <w:r w:rsidRPr="00FF156C">
        <w:rPr>
          <w:rStyle w:val="Emphasis"/>
          <w:sz w:val="16"/>
          <w:szCs w:val="16"/>
        </w:rPr>
        <w:t xml:space="preserve"> yang </w:t>
      </w:r>
      <w:proofErr w:type="spellStart"/>
      <w:r w:rsidRPr="00FF156C">
        <w:rPr>
          <w:rStyle w:val="Emphasis"/>
          <w:sz w:val="16"/>
          <w:szCs w:val="16"/>
        </w:rPr>
        <w:t>Seimbang</w:t>
      </w:r>
      <w:proofErr w:type="spellEnd"/>
      <w:r w:rsidRPr="00FF156C">
        <w:rPr>
          <w:rStyle w:val="Emphasis"/>
          <w:sz w:val="16"/>
          <w:szCs w:val="16"/>
        </w:rPr>
        <w:t xml:space="preserve"> </w:t>
      </w:r>
      <w:proofErr w:type="spellStart"/>
      <w:r w:rsidRPr="00FF156C">
        <w:rPr>
          <w:rStyle w:val="Emphasis"/>
          <w:sz w:val="16"/>
          <w:szCs w:val="16"/>
        </w:rPr>
        <w:t>Bagi</w:t>
      </w:r>
      <w:proofErr w:type="spellEnd"/>
      <w:r w:rsidRPr="00FF156C">
        <w:rPr>
          <w:rStyle w:val="Emphasis"/>
          <w:sz w:val="16"/>
          <w:szCs w:val="16"/>
        </w:rPr>
        <w:t xml:space="preserve"> Para </w:t>
      </w:r>
      <w:proofErr w:type="spellStart"/>
      <w:r w:rsidRPr="00FF156C">
        <w:rPr>
          <w:rStyle w:val="Emphasis"/>
          <w:sz w:val="16"/>
          <w:szCs w:val="16"/>
        </w:rPr>
        <w:t>Pihak</w:t>
      </w:r>
      <w:proofErr w:type="spellEnd"/>
      <w:r w:rsidRPr="00FF156C">
        <w:rPr>
          <w:rStyle w:val="Emphasis"/>
          <w:sz w:val="16"/>
          <w:szCs w:val="16"/>
        </w:rPr>
        <w:t xml:space="preserve"> </w:t>
      </w:r>
      <w:proofErr w:type="spellStart"/>
      <w:r w:rsidRPr="00FF156C">
        <w:rPr>
          <w:rStyle w:val="Emphasis"/>
          <w:sz w:val="16"/>
          <w:szCs w:val="16"/>
        </w:rPr>
        <w:t>dalam</w:t>
      </w:r>
      <w:proofErr w:type="spellEnd"/>
      <w:r w:rsidRPr="00FF156C">
        <w:rPr>
          <w:rStyle w:val="Emphasis"/>
          <w:sz w:val="16"/>
          <w:szCs w:val="16"/>
        </w:rPr>
        <w:t xml:space="preserve"> </w:t>
      </w:r>
      <w:proofErr w:type="spellStart"/>
      <w:r w:rsidRPr="00FF156C">
        <w:rPr>
          <w:rStyle w:val="Emphasis"/>
          <w:sz w:val="16"/>
          <w:szCs w:val="16"/>
        </w:rPr>
        <w:t>Perjanjian</w:t>
      </w:r>
      <w:proofErr w:type="spellEnd"/>
      <w:r w:rsidRPr="00FF156C">
        <w:rPr>
          <w:rStyle w:val="Emphasis"/>
          <w:sz w:val="16"/>
          <w:szCs w:val="16"/>
        </w:rPr>
        <w:t xml:space="preserve"> </w:t>
      </w:r>
      <w:proofErr w:type="spellStart"/>
      <w:r w:rsidRPr="00FF156C">
        <w:rPr>
          <w:rStyle w:val="Emphasis"/>
          <w:sz w:val="16"/>
          <w:szCs w:val="16"/>
        </w:rPr>
        <w:t>Adhesi</w:t>
      </w:r>
      <w:proofErr w:type="spellEnd"/>
      <w:r w:rsidRPr="00FF156C">
        <w:rPr>
          <w:sz w:val="16"/>
          <w:szCs w:val="16"/>
        </w:rPr>
        <w:t xml:space="preserve">. Pusat </w:t>
      </w:r>
      <w:proofErr w:type="spellStart"/>
      <w:r w:rsidRPr="00FF156C">
        <w:rPr>
          <w:sz w:val="16"/>
          <w:szCs w:val="16"/>
        </w:rPr>
        <w:t>Studi</w:t>
      </w:r>
      <w:proofErr w:type="spellEnd"/>
      <w:r w:rsidRPr="00FF156C">
        <w:rPr>
          <w:sz w:val="16"/>
          <w:szCs w:val="16"/>
        </w:rPr>
        <w:t xml:space="preserve"> Hukum </w:t>
      </w:r>
      <w:proofErr w:type="spellStart"/>
      <w:r w:rsidRPr="00FF156C">
        <w:rPr>
          <w:sz w:val="16"/>
          <w:szCs w:val="16"/>
        </w:rPr>
        <w:t>Bisnis</w:t>
      </w:r>
      <w:proofErr w:type="spellEnd"/>
      <w:r w:rsidRPr="00FF156C">
        <w:rPr>
          <w:sz w:val="16"/>
          <w:szCs w:val="16"/>
        </w:rPr>
        <w:t>, 2006.</w:t>
      </w:r>
    </w:p>
    <w:p w14:paraId="28D4FCE6"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Velentina</w:t>
      </w:r>
      <w:proofErr w:type="spellEnd"/>
      <w:r w:rsidRPr="00FF156C">
        <w:rPr>
          <w:sz w:val="16"/>
          <w:szCs w:val="16"/>
        </w:rPr>
        <w:t xml:space="preserve">, </w:t>
      </w:r>
      <w:proofErr w:type="spellStart"/>
      <w:r w:rsidRPr="00FF156C">
        <w:rPr>
          <w:sz w:val="16"/>
          <w:szCs w:val="16"/>
        </w:rPr>
        <w:t>Rouli</w:t>
      </w:r>
      <w:proofErr w:type="spellEnd"/>
      <w:r w:rsidRPr="00FF156C">
        <w:rPr>
          <w:sz w:val="16"/>
          <w:szCs w:val="16"/>
        </w:rPr>
        <w:t xml:space="preserve"> Anita. </w:t>
      </w:r>
      <w:r w:rsidRPr="00FF156C">
        <w:rPr>
          <w:rStyle w:val="Emphasis"/>
          <w:sz w:val="16"/>
          <w:szCs w:val="16"/>
        </w:rPr>
        <w:t xml:space="preserve">Hukum </w:t>
      </w:r>
      <w:proofErr w:type="spellStart"/>
      <w:r w:rsidRPr="00FF156C">
        <w:rPr>
          <w:rStyle w:val="Emphasis"/>
          <w:sz w:val="16"/>
          <w:szCs w:val="16"/>
        </w:rPr>
        <w:t>Kontrak</w:t>
      </w:r>
      <w:proofErr w:type="spellEnd"/>
      <w:r w:rsidRPr="00FF156C">
        <w:rPr>
          <w:rStyle w:val="Emphasis"/>
          <w:sz w:val="16"/>
          <w:szCs w:val="16"/>
        </w:rPr>
        <w:t xml:space="preserve"> </w:t>
      </w:r>
      <w:proofErr w:type="spellStart"/>
      <w:r w:rsidRPr="00FF156C">
        <w:rPr>
          <w:rStyle w:val="Emphasis"/>
          <w:sz w:val="16"/>
          <w:szCs w:val="16"/>
        </w:rPr>
        <w:t>Internasional</w:t>
      </w:r>
      <w:proofErr w:type="spellEnd"/>
      <w:r w:rsidRPr="00FF156C">
        <w:rPr>
          <w:sz w:val="16"/>
          <w:szCs w:val="16"/>
        </w:rPr>
        <w:t xml:space="preserve">. </w:t>
      </w:r>
      <w:proofErr w:type="spellStart"/>
      <w:r w:rsidRPr="00FF156C">
        <w:rPr>
          <w:sz w:val="16"/>
          <w:szCs w:val="16"/>
        </w:rPr>
        <w:t>Prenadamedia</w:t>
      </w:r>
      <w:proofErr w:type="spellEnd"/>
      <w:r w:rsidRPr="00FF156C">
        <w:rPr>
          <w:sz w:val="16"/>
          <w:szCs w:val="16"/>
        </w:rPr>
        <w:t xml:space="preserve"> Group, 2019.</w:t>
      </w:r>
    </w:p>
    <w:p w14:paraId="0DF6D169"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Kronke</w:t>
      </w:r>
      <w:proofErr w:type="spellEnd"/>
      <w:r w:rsidRPr="00FF156C">
        <w:rPr>
          <w:sz w:val="16"/>
          <w:szCs w:val="16"/>
        </w:rPr>
        <w:t xml:space="preserve">, Herbert, et al. </w:t>
      </w:r>
      <w:r w:rsidRPr="00FF156C">
        <w:rPr>
          <w:rStyle w:val="Emphasis"/>
          <w:sz w:val="16"/>
          <w:szCs w:val="16"/>
        </w:rPr>
        <w:t>International Commercial Contracts: Core Legal Concepts and Cross-Border Practice</w:t>
      </w:r>
      <w:r w:rsidRPr="00FF156C">
        <w:rPr>
          <w:sz w:val="16"/>
          <w:szCs w:val="16"/>
        </w:rPr>
        <w:t>. Kluwer Law International, 2019.</w:t>
      </w:r>
    </w:p>
    <w:p w14:paraId="50CC520E"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r w:rsidRPr="00FF156C">
        <w:rPr>
          <w:sz w:val="16"/>
          <w:szCs w:val="16"/>
        </w:rPr>
        <w:t xml:space="preserve">Goode, Roy. </w:t>
      </w:r>
      <w:r w:rsidRPr="00FF156C">
        <w:rPr>
          <w:rStyle w:val="Emphasis"/>
          <w:sz w:val="16"/>
          <w:szCs w:val="16"/>
        </w:rPr>
        <w:t>Commercial Law</w:t>
      </w:r>
      <w:r w:rsidRPr="00FF156C">
        <w:rPr>
          <w:sz w:val="16"/>
          <w:szCs w:val="16"/>
        </w:rPr>
        <w:t>. Penguin Books, 2004.</w:t>
      </w:r>
    </w:p>
    <w:p w14:paraId="4974C3AB" w14:textId="77777777" w:rsidR="00052385" w:rsidRPr="00FF156C" w:rsidRDefault="00052385" w:rsidP="00FF156C">
      <w:pPr>
        <w:pStyle w:val="NormalWeb"/>
        <w:numPr>
          <w:ilvl w:val="0"/>
          <w:numId w:val="14"/>
        </w:numPr>
        <w:tabs>
          <w:tab w:val="clear" w:pos="720"/>
        </w:tabs>
        <w:spacing w:before="0" w:beforeAutospacing="0" w:after="0" w:afterAutospacing="0"/>
        <w:ind w:left="426" w:hanging="426"/>
        <w:rPr>
          <w:sz w:val="16"/>
          <w:szCs w:val="16"/>
        </w:rPr>
      </w:pPr>
      <w:proofErr w:type="spellStart"/>
      <w:r w:rsidRPr="00FF156C">
        <w:rPr>
          <w:sz w:val="16"/>
          <w:szCs w:val="16"/>
        </w:rPr>
        <w:t>Schmitthoff</w:t>
      </w:r>
      <w:proofErr w:type="spellEnd"/>
      <w:r w:rsidRPr="00FF156C">
        <w:rPr>
          <w:sz w:val="16"/>
          <w:szCs w:val="16"/>
        </w:rPr>
        <w:t xml:space="preserve">, Clive M. </w:t>
      </w:r>
      <w:proofErr w:type="spellStart"/>
      <w:r w:rsidRPr="00FF156C">
        <w:rPr>
          <w:rStyle w:val="Emphasis"/>
          <w:sz w:val="16"/>
          <w:szCs w:val="16"/>
        </w:rPr>
        <w:t>Schmitthoff's</w:t>
      </w:r>
      <w:proofErr w:type="spellEnd"/>
      <w:r w:rsidRPr="00FF156C">
        <w:rPr>
          <w:rStyle w:val="Emphasis"/>
          <w:sz w:val="16"/>
          <w:szCs w:val="16"/>
        </w:rPr>
        <w:t xml:space="preserve"> Export Trade: The Law and Practice of International Trade</w:t>
      </w:r>
      <w:r w:rsidRPr="00FF156C">
        <w:rPr>
          <w:sz w:val="16"/>
          <w:szCs w:val="16"/>
        </w:rPr>
        <w:t>. Sweet &amp; Maxwell, 2007.</w:t>
      </w:r>
    </w:p>
    <w:p w14:paraId="0C8C161E"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proofErr w:type="spellStart"/>
      <w:r w:rsidRPr="00FF156C">
        <w:rPr>
          <w:sz w:val="16"/>
          <w:szCs w:val="16"/>
        </w:rPr>
        <w:t>Treitel</w:t>
      </w:r>
      <w:proofErr w:type="spellEnd"/>
      <w:r w:rsidRPr="00FF156C">
        <w:rPr>
          <w:sz w:val="16"/>
          <w:szCs w:val="16"/>
        </w:rPr>
        <w:t xml:space="preserve">, G.H. </w:t>
      </w:r>
      <w:r w:rsidRPr="00FF156C">
        <w:rPr>
          <w:rStyle w:val="Emphasis"/>
          <w:sz w:val="16"/>
          <w:szCs w:val="16"/>
        </w:rPr>
        <w:t>The Law of Contract</w:t>
      </w:r>
      <w:r w:rsidRPr="00FF156C">
        <w:rPr>
          <w:sz w:val="16"/>
          <w:szCs w:val="16"/>
        </w:rPr>
        <w:t>. Sweet &amp; Maxwell, 2007.</w:t>
      </w:r>
    </w:p>
    <w:p w14:paraId="7539467A"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Adams, Roy &amp; </w:t>
      </w:r>
      <w:proofErr w:type="spellStart"/>
      <w:r w:rsidRPr="00FF156C">
        <w:rPr>
          <w:sz w:val="16"/>
          <w:szCs w:val="16"/>
        </w:rPr>
        <w:t>Brownsword</w:t>
      </w:r>
      <w:proofErr w:type="spellEnd"/>
      <w:r w:rsidRPr="00FF156C">
        <w:rPr>
          <w:sz w:val="16"/>
          <w:szCs w:val="16"/>
        </w:rPr>
        <w:t xml:space="preserve">, Roger. </w:t>
      </w:r>
      <w:r w:rsidRPr="00FF156C">
        <w:rPr>
          <w:rStyle w:val="Emphasis"/>
          <w:sz w:val="16"/>
          <w:szCs w:val="16"/>
        </w:rPr>
        <w:t>Understanding Contract Law</w:t>
      </w:r>
      <w:r w:rsidRPr="00FF156C">
        <w:rPr>
          <w:sz w:val="16"/>
          <w:szCs w:val="16"/>
        </w:rPr>
        <w:t>. Oxford University Press, 2016.</w:t>
      </w:r>
    </w:p>
    <w:p w14:paraId="31519E66"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Sealy, L.S. &amp; Worthington, Sarah. </w:t>
      </w:r>
      <w:r w:rsidRPr="00FF156C">
        <w:rPr>
          <w:rStyle w:val="Emphasis"/>
          <w:sz w:val="16"/>
          <w:szCs w:val="16"/>
        </w:rPr>
        <w:t>Cases and Materials in Company Law</w:t>
      </w:r>
      <w:r w:rsidRPr="00FF156C">
        <w:rPr>
          <w:sz w:val="16"/>
          <w:szCs w:val="16"/>
        </w:rPr>
        <w:t>. Oxford University Press, 2013 (</w:t>
      </w:r>
      <w:proofErr w:type="spellStart"/>
      <w:r w:rsidRPr="00FF156C">
        <w:rPr>
          <w:sz w:val="16"/>
          <w:szCs w:val="16"/>
        </w:rPr>
        <w:t>bagian</w:t>
      </w:r>
      <w:proofErr w:type="spellEnd"/>
      <w:r w:rsidRPr="00FF156C">
        <w:rPr>
          <w:sz w:val="16"/>
          <w:szCs w:val="16"/>
        </w:rPr>
        <w:t xml:space="preserve"> </w:t>
      </w:r>
      <w:r w:rsidRPr="00FF156C">
        <w:rPr>
          <w:rStyle w:val="Emphasis"/>
          <w:sz w:val="16"/>
          <w:szCs w:val="16"/>
        </w:rPr>
        <w:t>corporate veil</w:t>
      </w:r>
      <w:r w:rsidRPr="00FF156C">
        <w:rPr>
          <w:sz w:val="16"/>
          <w:szCs w:val="16"/>
        </w:rPr>
        <w:t>).</w:t>
      </w:r>
    </w:p>
    <w:p w14:paraId="23366E12"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Davies, Paul L. </w:t>
      </w:r>
      <w:r w:rsidRPr="00FF156C">
        <w:rPr>
          <w:rStyle w:val="Emphasis"/>
          <w:sz w:val="16"/>
          <w:szCs w:val="16"/>
        </w:rPr>
        <w:t>Principles of Modern Company Law</w:t>
      </w:r>
      <w:r w:rsidRPr="00FF156C">
        <w:rPr>
          <w:sz w:val="16"/>
          <w:szCs w:val="16"/>
        </w:rPr>
        <w:t>. Sweet &amp; Maxwell, 2010.</w:t>
      </w:r>
    </w:p>
    <w:p w14:paraId="7A297929"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Mistelis, Loukas &amp; </w:t>
      </w:r>
      <w:proofErr w:type="spellStart"/>
      <w:r w:rsidRPr="00FF156C">
        <w:rPr>
          <w:sz w:val="16"/>
          <w:szCs w:val="16"/>
        </w:rPr>
        <w:t>Kröll</w:t>
      </w:r>
      <w:proofErr w:type="spellEnd"/>
      <w:r w:rsidRPr="00FF156C">
        <w:rPr>
          <w:sz w:val="16"/>
          <w:szCs w:val="16"/>
        </w:rPr>
        <w:t xml:space="preserve">, Stefan. </w:t>
      </w:r>
      <w:r w:rsidRPr="00FF156C">
        <w:rPr>
          <w:rStyle w:val="Emphasis"/>
          <w:sz w:val="16"/>
          <w:szCs w:val="16"/>
        </w:rPr>
        <w:t>Comparative International Commercial Arbitration</w:t>
      </w:r>
      <w:r w:rsidRPr="00FF156C">
        <w:rPr>
          <w:sz w:val="16"/>
          <w:szCs w:val="16"/>
        </w:rPr>
        <w:t>. Kluwer Law International, 2006.</w:t>
      </w:r>
    </w:p>
    <w:p w14:paraId="241A04D2"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McKendrick, Ewan. </w:t>
      </w:r>
      <w:r w:rsidRPr="00FF156C">
        <w:rPr>
          <w:rStyle w:val="Emphasis"/>
          <w:sz w:val="16"/>
          <w:szCs w:val="16"/>
        </w:rPr>
        <w:t>Contract Law: Text, Cases, and Materials</w:t>
      </w:r>
      <w:r w:rsidRPr="00FF156C">
        <w:rPr>
          <w:sz w:val="16"/>
          <w:szCs w:val="16"/>
        </w:rPr>
        <w:t>. Oxford University Press, 2019.</w:t>
      </w:r>
    </w:p>
    <w:p w14:paraId="1537A78F"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r w:rsidRPr="00FF156C">
        <w:rPr>
          <w:sz w:val="16"/>
          <w:szCs w:val="16"/>
        </w:rPr>
        <w:t xml:space="preserve">Ramli, Ahmad. </w:t>
      </w:r>
      <w:r w:rsidRPr="00FF156C">
        <w:rPr>
          <w:rStyle w:val="Emphasis"/>
          <w:sz w:val="16"/>
          <w:szCs w:val="16"/>
        </w:rPr>
        <w:t xml:space="preserve">Hukum </w:t>
      </w:r>
      <w:proofErr w:type="spellStart"/>
      <w:r w:rsidRPr="00FF156C">
        <w:rPr>
          <w:rStyle w:val="Emphasis"/>
          <w:sz w:val="16"/>
          <w:szCs w:val="16"/>
        </w:rPr>
        <w:t>Perdagangan</w:t>
      </w:r>
      <w:proofErr w:type="spellEnd"/>
      <w:r w:rsidRPr="00FF156C">
        <w:rPr>
          <w:rStyle w:val="Emphasis"/>
          <w:sz w:val="16"/>
          <w:szCs w:val="16"/>
        </w:rPr>
        <w:t xml:space="preserve"> </w:t>
      </w:r>
      <w:proofErr w:type="spellStart"/>
      <w:r w:rsidRPr="00FF156C">
        <w:rPr>
          <w:rStyle w:val="Emphasis"/>
          <w:sz w:val="16"/>
          <w:szCs w:val="16"/>
        </w:rPr>
        <w:t>Internasional</w:t>
      </w:r>
      <w:proofErr w:type="spellEnd"/>
      <w:r w:rsidRPr="00FF156C">
        <w:rPr>
          <w:sz w:val="16"/>
          <w:szCs w:val="16"/>
        </w:rPr>
        <w:t>. PT Gramedia, 2018.</w:t>
      </w:r>
    </w:p>
    <w:p w14:paraId="1323E66E" w14:textId="77777777" w:rsidR="00052385" w:rsidRPr="00FF156C" w:rsidRDefault="00052385" w:rsidP="00FF156C">
      <w:pPr>
        <w:pStyle w:val="NormalWeb"/>
        <w:numPr>
          <w:ilvl w:val="0"/>
          <w:numId w:val="15"/>
        </w:numPr>
        <w:tabs>
          <w:tab w:val="clear" w:pos="720"/>
        </w:tabs>
        <w:spacing w:before="0" w:beforeAutospacing="0" w:after="0" w:afterAutospacing="0"/>
        <w:ind w:left="426" w:hanging="426"/>
        <w:rPr>
          <w:sz w:val="16"/>
          <w:szCs w:val="16"/>
        </w:rPr>
      </w:pPr>
      <w:proofErr w:type="spellStart"/>
      <w:r w:rsidRPr="00FF156C">
        <w:rPr>
          <w:sz w:val="16"/>
          <w:szCs w:val="16"/>
        </w:rPr>
        <w:t>Purwosutjipto</w:t>
      </w:r>
      <w:proofErr w:type="spellEnd"/>
      <w:r w:rsidRPr="00FF156C">
        <w:rPr>
          <w:sz w:val="16"/>
          <w:szCs w:val="16"/>
        </w:rPr>
        <w:t xml:space="preserve">, H.M.N. </w:t>
      </w:r>
      <w:proofErr w:type="spellStart"/>
      <w:r w:rsidRPr="00FF156C">
        <w:rPr>
          <w:rStyle w:val="Emphasis"/>
          <w:sz w:val="16"/>
          <w:szCs w:val="16"/>
        </w:rPr>
        <w:t>Pengertian</w:t>
      </w:r>
      <w:proofErr w:type="spellEnd"/>
      <w:r w:rsidRPr="00FF156C">
        <w:rPr>
          <w:rStyle w:val="Emphasis"/>
          <w:sz w:val="16"/>
          <w:szCs w:val="16"/>
        </w:rPr>
        <w:t xml:space="preserve"> </w:t>
      </w:r>
      <w:proofErr w:type="spellStart"/>
      <w:r w:rsidRPr="00FF156C">
        <w:rPr>
          <w:rStyle w:val="Emphasis"/>
          <w:sz w:val="16"/>
          <w:szCs w:val="16"/>
        </w:rPr>
        <w:t>Pokok</w:t>
      </w:r>
      <w:proofErr w:type="spellEnd"/>
      <w:r w:rsidRPr="00FF156C">
        <w:rPr>
          <w:rStyle w:val="Emphasis"/>
          <w:sz w:val="16"/>
          <w:szCs w:val="16"/>
        </w:rPr>
        <w:t xml:space="preserve"> Hukum </w:t>
      </w:r>
      <w:proofErr w:type="spellStart"/>
      <w:r w:rsidRPr="00FF156C">
        <w:rPr>
          <w:rStyle w:val="Emphasis"/>
          <w:sz w:val="16"/>
          <w:szCs w:val="16"/>
        </w:rPr>
        <w:t>Dagang</w:t>
      </w:r>
      <w:proofErr w:type="spellEnd"/>
      <w:r w:rsidRPr="00FF156C">
        <w:rPr>
          <w:rStyle w:val="Emphasis"/>
          <w:sz w:val="16"/>
          <w:szCs w:val="16"/>
        </w:rPr>
        <w:t xml:space="preserve"> Indonesia, </w:t>
      </w:r>
      <w:proofErr w:type="spellStart"/>
      <w:r w:rsidRPr="00FF156C">
        <w:rPr>
          <w:rStyle w:val="Emphasis"/>
          <w:sz w:val="16"/>
          <w:szCs w:val="16"/>
        </w:rPr>
        <w:t>Perikatan</w:t>
      </w:r>
      <w:proofErr w:type="spellEnd"/>
      <w:r w:rsidRPr="00FF156C">
        <w:rPr>
          <w:rStyle w:val="Emphasis"/>
          <w:sz w:val="16"/>
          <w:szCs w:val="16"/>
        </w:rPr>
        <w:t xml:space="preserve"> </w:t>
      </w:r>
      <w:proofErr w:type="spellStart"/>
      <w:r w:rsidRPr="00FF156C">
        <w:rPr>
          <w:rStyle w:val="Emphasis"/>
          <w:sz w:val="16"/>
          <w:szCs w:val="16"/>
        </w:rPr>
        <w:t>Dagang</w:t>
      </w:r>
      <w:proofErr w:type="spellEnd"/>
      <w:r w:rsidRPr="00FF156C">
        <w:rPr>
          <w:sz w:val="16"/>
          <w:szCs w:val="16"/>
        </w:rPr>
        <w:t xml:space="preserve">. </w:t>
      </w:r>
      <w:proofErr w:type="spellStart"/>
      <w:r w:rsidRPr="00FF156C">
        <w:rPr>
          <w:sz w:val="16"/>
          <w:szCs w:val="16"/>
        </w:rPr>
        <w:t>Djambatan</w:t>
      </w:r>
      <w:proofErr w:type="spellEnd"/>
      <w:r w:rsidRPr="00FF156C">
        <w:rPr>
          <w:sz w:val="16"/>
          <w:szCs w:val="16"/>
        </w:rPr>
        <w:t>, 2003.</w:t>
      </w:r>
    </w:p>
    <w:p w14:paraId="41678428" w14:textId="3CD68F1C" w:rsidR="008717E0" w:rsidRPr="006802FA" w:rsidRDefault="008717E0">
      <w:pPr>
        <w:rPr>
          <w:color w:val="0070C0"/>
          <w:sz w:val="24"/>
          <w:lang w:val="sv-SE"/>
        </w:rPr>
      </w:pPr>
    </w:p>
    <w:sectPr w:rsidR="008717E0" w:rsidRPr="006802FA" w:rsidSect="00EC587A">
      <w:headerReference w:type="default" r:id="rId14"/>
      <w:footerReference w:type="default" r:id="rId15"/>
      <w:footerReference w:type="first" r:id="rId16"/>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DAE4B" w14:textId="77777777" w:rsidR="00462ABD" w:rsidRDefault="00462ABD">
      <w:pPr>
        <w:spacing w:after="0"/>
      </w:pPr>
      <w:r>
        <w:separator/>
      </w:r>
    </w:p>
  </w:endnote>
  <w:endnote w:type="continuationSeparator" w:id="0">
    <w:p w14:paraId="418B9211" w14:textId="77777777" w:rsidR="00462ABD" w:rsidRDefault="00462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44AC3CF4" w:rsidR="00BC1510" w:rsidRPr="00AE62FB" w:rsidRDefault="003E3842" w:rsidP="007617F1">
    <w:pPr>
      <w:pStyle w:val="Footer"/>
      <w:pBdr>
        <w:bottom w:val="single" w:sz="6" w:space="1" w:color="auto"/>
      </w:pBdr>
      <w:spacing w:before="120"/>
      <w:jc w:val="center"/>
      <w:rPr>
        <w:lang w:val="id-ID"/>
      </w:rPr>
    </w:pPr>
    <w:r w:rsidRPr="003E3842">
      <w:rPr>
        <w:lang w:val="sv-SE"/>
      </w:rPr>
      <w:t>Analisis Yuridis Putusan MA No. 2992 K/PDT/2015 dalam Perspektif Hukum Dagang Internasional</w:t>
    </w:r>
  </w:p>
  <w:p w14:paraId="30D295F6" w14:textId="77777777" w:rsidR="00BC1510" w:rsidRDefault="00BC1510">
    <w:pPr>
      <w:pStyle w:val="Footer"/>
      <w:jc w:val="center"/>
    </w:pPr>
    <w:r>
      <w:fldChar w:fldCharType="begin"/>
    </w:r>
    <w:r>
      <w:instrText xml:space="preserve"> PAGE   \* MERGEFORMAT </w:instrText>
    </w:r>
    <w:r>
      <w:fldChar w:fldCharType="separate"/>
    </w:r>
    <w:r w:rsidR="005B44E9">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0231E657"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3" w:name="_Hlk70513816"/>
    <w:r w:rsidRPr="00190B77">
      <w:rPr>
        <w:rFonts w:eastAsia="Times New Roman"/>
        <w:color w:val="000000"/>
        <w:lang w:val="id-ID"/>
      </w:rPr>
      <w:t>DOI: https://doi.org/</w:t>
    </w:r>
    <w:r w:rsidR="003E3842" w:rsidRPr="003E3842">
      <w:rPr>
        <w:rFonts w:eastAsia="Times New Roman"/>
        <w:color w:val="000000"/>
        <w:lang w:val="id-ID"/>
      </w:rPr>
      <w:t>10.31004/riggs.v4i4.4403</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3"/>
  <w:p w14:paraId="226BDC99" w14:textId="77777777" w:rsidR="00DF0BEE" w:rsidRDefault="00DF0BEE">
    <w:pPr>
      <w:pStyle w:val="Footer"/>
      <w:jc w:val="center"/>
    </w:pPr>
    <w:r>
      <w:fldChar w:fldCharType="begin"/>
    </w:r>
    <w:r>
      <w:instrText xml:space="preserve"> PAGE   \* MERGEFORMAT </w:instrText>
    </w:r>
    <w:r>
      <w:fldChar w:fldCharType="separate"/>
    </w:r>
    <w:r w:rsidR="005B44E9">
      <w:rPr>
        <w:noProof/>
      </w:rPr>
      <w:t>8</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6C4E" w14:textId="77777777" w:rsidR="00462ABD" w:rsidRDefault="00462ABD">
      <w:pPr>
        <w:spacing w:after="0"/>
      </w:pPr>
      <w:r>
        <w:separator/>
      </w:r>
    </w:p>
  </w:footnote>
  <w:footnote w:type="continuationSeparator" w:id="0">
    <w:p w14:paraId="7AF177DD" w14:textId="77777777" w:rsidR="00462ABD" w:rsidRDefault="00462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2494E099" w:rsidR="0033260F" w:rsidRPr="003E3842" w:rsidRDefault="003E3842" w:rsidP="003E3842">
    <w:pPr>
      <w:spacing w:after="0"/>
      <w:jc w:val="center"/>
      <w:rPr>
        <w:rStyle w:val="SubtleEmphasis"/>
        <w:iCs w:val="0"/>
        <w:color w:val="auto"/>
        <w:sz w:val="20"/>
        <w:szCs w:val="20"/>
        <w:vertAlign w:val="superscript"/>
        <w:lang w:val="id-ID"/>
      </w:rPr>
    </w:pPr>
    <w:r w:rsidRPr="00FF156C">
      <w:rPr>
        <w:szCs w:val="20"/>
        <w:lang w:val="id-ID"/>
      </w:rPr>
      <w:t>Mustafid Milanto Achmad, Rouli Anita Velentina</w:t>
    </w:r>
  </w:p>
  <w:p w14:paraId="501587EF" w14:textId="5F29FCB2" w:rsidR="00DF0BEE" w:rsidRPr="0033260F" w:rsidRDefault="00D031E8" w:rsidP="0033260F">
    <w:pPr>
      <w:pStyle w:val="Header"/>
      <w:pBdr>
        <w:bottom w:val="single" w:sz="6" w:space="1" w:color="auto"/>
      </w:pBdr>
      <w:jc w:val="center"/>
      <w:rPr>
        <w:rFonts w:eastAsia="Times New Roman"/>
        <w:color w:val="000000"/>
      </w:rPr>
    </w:pPr>
    <w:bookmarkStart w:id="2" w:name="_Hlk70543852"/>
    <w:r w:rsidRPr="00D031E8">
      <w:t>Journal of Artificial Intelligence and Digital Business (RIGGS)</w:t>
    </w:r>
    <w:r>
      <w:t xml:space="preserve"> </w:t>
    </w:r>
    <w:bookmarkEnd w:id="2"/>
    <w:r w:rsidRPr="00D031E8">
      <w:t xml:space="preserve">Volume </w:t>
    </w:r>
    <w:r w:rsidR="003E3842" w:rsidRPr="003E3842">
      <w:t xml:space="preserve">4 </w:t>
    </w:r>
    <w:proofErr w:type="spellStart"/>
    <w:r w:rsidR="003E3842" w:rsidRPr="003E3842">
      <w:t>Nomor</w:t>
    </w:r>
    <w:proofErr w:type="spellEnd"/>
    <w:r w:rsidR="003E3842" w:rsidRPr="003E3842">
      <w:t xml:space="preserve">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245B7"/>
    <w:multiLevelType w:val="multilevel"/>
    <w:tmpl w:val="976468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7046E"/>
    <w:multiLevelType w:val="multilevel"/>
    <w:tmpl w:val="2A18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406D7"/>
    <w:multiLevelType w:val="multilevel"/>
    <w:tmpl w:val="4466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AA223B"/>
    <w:multiLevelType w:val="hybridMultilevel"/>
    <w:tmpl w:val="13168DFC"/>
    <w:lvl w:ilvl="0" w:tplc="8A20966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8"/>
  </w:num>
  <w:num w:numId="5">
    <w:abstractNumId w:val="3"/>
  </w:num>
  <w:num w:numId="6">
    <w:abstractNumId w:val="5"/>
  </w:num>
  <w:num w:numId="7">
    <w:abstractNumId w:val="6"/>
  </w:num>
  <w:num w:numId="8">
    <w:abstractNumId w:val="10"/>
  </w:num>
  <w:num w:numId="9">
    <w:abstractNumId w:val="2"/>
  </w:num>
  <w:num w:numId="10">
    <w:abstractNumId w:val="13"/>
  </w:num>
  <w:num w:numId="11">
    <w:abstractNumId w:val="11"/>
  </w:num>
  <w:num w:numId="12">
    <w:abstractNumId w:val="9"/>
  </w:num>
  <w:num w:numId="13">
    <w:abstractNumId w:val="7"/>
  </w:num>
  <w:num w:numId="14">
    <w:abstractNumId w:val="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25"/>
    <w:rsid w:val="00011D9D"/>
    <w:rsid w:val="0001447E"/>
    <w:rsid w:val="000203EF"/>
    <w:rsid w:val="000279C2"/>
    <w:rsid w:val="00052385"/>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071E0"/>
    <w:rsid w:val="00213722"/>
    <w:rsid w:val="0022233B"/>
    <w:rsid w:val="002430C8"/>
    <w:rsid w:val="002752DE"/>
    <w:rsid w:val="00276505"/>
    <w:rsid w:val="002A3C65"/>
    <w:rsid w:val="002C1AA0"/>
    <w:rsid w:val="002C640C"/>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3842"/>
    <w:rsid w:val="003E55A5"/>
    <w:rsid w:val="003E6BC9"/>
    <w:rsid w:val="003F4478"/>
    <w:rsid w:val="003F51D8"/>
    <w:rsid w:val="004055A4"/>
    <w:rsid w:val="00413896"/>
    <w:rsid w:val="0043315A"/>
    <w:rsid w:val="00433408"/>
    <w:rsid w:val="0043444F"/>
    <w:rsid w:val="00437181"/>
    <w:rsid w:val="00452C2F"/>
    <w:rsid w:val="004561C3"/>
    <w:rsid w:val="00462ABD"/>
    <w:rsid w:val="004936A3"/>
    <w:rsid w:val="004A0DDF"/>
    <w:rsid w:val="004A6011"/>
    <w:rsid w:val="004A7B94"/>
    <w:rsid w:val="004B4C23"/>
    <w:rsid w:val="004B505B"/>
    <w:rsid w:val="004D1DA5"/>
    <w:rsid w:val="004E0DC5"/>
    <w:rsid w:val="004E6245"/>
    <w:rsid w:val="004F372D"/>
    <w:rsid w:val="004F6849"/>
    <w:rsid w:val="004F7CFF"/>
    <w:rsid w:val="0052576B"/>
    <w:rsid w:val="0054643A"/>
    <w:rsid w:val="005563B3"/>
    <w:rsid w:val="0057105F"/>
    <w:rsid w:val="00593F36"/>
    <w:rsid w:val="005968AF"/>
    <w:rsid w:val="00596EAF"/>
    <w:rsid w:val="005B44E9"/>
    <w:rsid w:val="005B4516"/>
    <w:rsid w:val="005D16BC"/>
    <w:rsid w:val="005D1BA1"/>
    <w:rsid w:val="005D4B5A"/>
    <w:rsid w:val="005E0524"/>
    <w:rsid w:val="005F2A02"/>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3742B"/>
    <w:rsid w:val="00944133"/>
    <w:rsid w:val="009461DE"/>
    <w:rsid w:val="00955106"/>
    <w:rsid w:val="00971375"/>
    <w:rsid w:val="009720B9"/>
    <w:rsid w:val="0097759B"/>
    <w:rsid w:val="009900AC"/>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03780"/>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35AC5"/>
    <w:rsid w:val="00E45480"/>
    <w:rsid w:val="00E56B54"/>
    <w:rsid w:val="00E57996"/>
    <w:rsid w:val="00E6099F"/>
    <w:rsid w:val="00E61729"/>
    <w:rsid w:val="00E62620"/>
    <w:rsid w:val="00E63DB0"/>
    <w:rsid w:val="00E71DF8"/>
    <w:rsid w:val="00E84033"/>
    <w:rsid w:val="00EA24A0"/>
    <w:rsid w:val="00EB56CD"/>
    <w:rsid w:val="00EC587A"/>
    <w:rsid w:val="00EC7EAD"/>
    <w:rsid w:val="00ED1833"/>
    <w:rsid w:val="00ED3704"/>
    <w:rsid w:val="00ED77D8"/>
    <w:rsid w:val="00EE382D"/>
    <w:rsid w:val="00EF32D2"/>
    <w:rsid w:val="00EF485F"/>
    <w:rsid w:val="00F10800"/>
    <w:rsid w:val="00F12B74"/>
    <w:rsid w:val="00F2027F"/>
    <w:rsid w:val="00F26EED"/>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156C"/>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0523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C03780"/>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03780"/>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Heading3Char">
    <w:name w:val="Heading 3 Char"/>
    <w:basedOn w:val="DefaultParagraphFont"/>
    <w:link w:val="Heading3"/>
    <w:uiPriority w:val="9"/>
    <w:semiHidden/>
    <w:rsid w:val="0005238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52385"/>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052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202014763">
      <w:bodyDiv w:val="1"/>
      <w:marLeft w:val="0"/>
      <w:marRight w:val="0"/>
      <w:marTop w:val="0"/>
      <w:marBottom w:val="0"/>
      <w:divBdr>
        <w:top w:val="none" w:sz="0" w:space="0" w:color="auto"/>
        <w:left w:val="none" w:sz="0" w:space="0" w:color="auto"/>
        <w:bottom w:val="none" w:sz="0" w:space="0" w:color="auto"/>
        <w:right w:val="none" w:sz="0" w:space="0" w:color="auto"/>
      </w:divBdr>
    </w:div>
    <w:div w:id="138348380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rouli.anita@ui.ac.id" TargetMode="External"/><Relationship Id="rId4" Type="http://schemas.openxmlformats.org/officeDocument/2006/relationships/webSettings" Target="webSettings.xml"/><Relationship Id="rId9" Type="http://schemas.openxmlformats.org/officeDocument/2006/relationships/hyperlink" Target="mailto:mr.mustafidmilantoachmad@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4849</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32430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5</cp:revision>
  <cp:lastPrinted>2018-06-26T09:35:00Z</cp:lastPrinted>
  <dcterms:created xsi:type="dcterms:W3CDTF">2026-01-08T09:26:00Z</dcterms:created>
  <dcterms:modified xsi:type="dcterms:W3CDTF">2026-01-14T03:23:00Z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