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8D5FC1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8D5FC1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8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1AC21BCC" w:rsidR="005968AF" w:rsidRDefault="002C1AA0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>Vol</w:t>
            </w:r>
            <w:r w:rsidR="00983A4F">
              <w:rPr>
                <w:spacing w:val="20"/>
                <w:position w:val="6"/>
                <w:sz w:val="24"/>
                <w:szCs w:val="24"/>
              </w:rPr>
              <w:t xml:space="preserve"> 4 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No</w:t>
            </w:r>
            <w:r w:rsidR="00983A4F">
              <w:rPr>
                <w:spacing w:val="20"/>
                <w:position w:val="6"/>
                <w:sz w:val="24"/>
                <w:szCs w:val="24"/>
              </w:rPr>
              <w:t xml:space="preserve"> 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(202</w:t>
            </w:r>
            <w:r w:rsidR="00983A4F">
              <w:rPr>
                <w:spacing w:val="20"/>
                <w:position w:val="6"/>
                <w:sz w:val="24"/>
                <w:szCs w:val="24"/>
              </w:rPr>
              <w:t>5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 xml:space="preserve">pp: </w:t>
            </w:r>
            <w:r w:rsidR="00983A4F">
              <w:rPr>
                <w:spacing w:val="20"/>
                <w:position w:val="6"/>
                <w:sz w:val="24"/>
                <w:szCs w:val="24"/>
              </w:rPr>
              <w:t>5012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-</w:t>
            </w:r>
            <w:r w:rsidR="005968AF">
              <w:rPr>
                <w:spacing w:val="20"/>
                <w:position w:val="6"/>
                <w:sz w:val="24"/>
                <w:szCs w:val="24"/>
              </w:rPr>
              <w:t>5</w:t>
            </w:r>
            <w:r w:rsidR="00983A4F">
              <w:rPr>
                <w:spacing w:val="20"/>
                <w:position w:val="6"/>
                <w:sz w:val="24"/>
                <w:szCs w:val="24"/>
              </w:rPr>
              <w:t>018</w:t>
            </w:r>
          </w:p>
          <w:p w14:paraId="23A01938" w14:textId="7E69904D" w:rsidR="00201B54" w:rsidRPr="00E12C6E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0577F579" w14:textId="77777777" w:rsidR="00900539" w:rsidRDefault="00900539" w:rsidP="00900539">
      <w:pPr>
        <w:spacing w:after="0"/>
        <w:jc w:val="center"/>
        <w:rPr>
          <w:b/>
          <w:bCs/>
          <w:sz w:val="30"/>
          <w:szCs w:val="30"/>
        </w:rPr>
      </w:pPr>
    </w:p>
    <w:p w14:paraId="13C8C97F" w14:textId="77777777" w:rsidR="009B3458" w:rsidRPr="00983A4F" w:rsidRDefault="009B3458" w:rsidP="009B3458">
      <w:pPr>
        <w:spacing w:after="0"/>
        <w:jc w:val="center"/>
        <w:rPr>
          <w:sz w:val="30"/>
          <w:szCs w:val="30"/>
        </w:rPr>
      </w:pPr>
      <w:r w:rsidRPr="00983A4F">
        <w:rPr>
          <w:sz w:val="30"/>
          <w:szCs w:val="30"/>
        </w:rPr>
        <w:t xml:space="preserve">Modal </w:t>
      </w:r>
      <w:proofErr w:type="spellStart"/>
      <w:r w:rsidRPr="00983A4F">
        <w:rPr>
          <w:sz w:val="30"/>
          <w:szCs w:val="30"/>
        </w:rPr>
        <w:t>Sosial</w:t>
      </w:r>
      <w:proofErr w:type="spellEnd"/>
      <w:r w:rsidRPr="00983A4F">
        <w:rPr>
          <w:sz w:val="30"/>
          <w:szCs w:val="30"/>
        </w:rPr>
        <w:t xml:space="preserve">, Modal </w:t>
      </w:r>
      <w:proofErr w:type="spellStart"/>
      <w:r w:rsidRPr="00983A4F">
        <w:rPr>
          <w:sz w:val="30"/>
          <w:szCs w:val="30"/>
        </w:rPr>
        <w:t>Budaya</w:t>
      </w:r>
      <w:proofErr w:type="spellEnd"/>
      <w:r w:rsidRPr="00983A4F">
        <w:rPr>
          <w:sz w:val="30"/>
          <w:szCs w:val="30"/>
        </w:rPr>
        <w:t xml:space="preserve">, dan Habitus Kesehatan: </w:t>
      </w:r>
      <w:proofErr w:type="spellStart"/>
      <w:r w:rsidRPr="00983A4F">
        <w:rPr>
          <w:sz w:val="30"/>
          <w:szCs w:val="30"/>
        </w:rPr>
        <w:t>Ketimpangan</w:t>
      </w:r>
      <w:proofErr w:type="spellEnd"/>
      <w:r w:rsidRPr="00983A4F">
        <w:rPr>
          <w:sz w:val="30"/>
          <w:szCs w:val="30"/>
        </w:rPr>
        <w:t xml:space="preserve"> </w:t>
      </w:r>
      <w:proofErr w:type="spellStart"/>
      <w:r w:rsidRPr="00983A4F">
        <w:rPr>
          <w:sz w:val="30"/>
          <w:szCs w:val="30"/>
        </w:rPr>
        <w:t>Akses</w:t>
      </w:r>
      <w:proofErr w:type="spellEnd"/>
      <w:r w:rsidRPr="00983A4F">
        <w:rPr>
          <w:sz w:val="30"/>
          <w:szCs w:val="30"/>
        </w:rPr>
        <w:t xml:space="preserve"> </w:t>
      </w:r>
      <w:proofErr w:type="spellStart"/>
      <w:r w:rsidRPr="00983A4F">
        <w:rPr>
          <w:sz w:val="30"/>
          <w:szCs w:val="30"/>
        </w:rPr>
        <w:t>Layanan</w:t>
      </w:r>
      <w:proofErr w:type="spellEnd"/>
      <w:r w:rsidRPr="00983A4F">
        <w:rPr>
          <w:sz w:val="30"/>
          <w:szCs w:val="30"/>
        </w:rPr>
        <w:t xml:space="preserve"> Kesehatan di Masyarakat </w:t>
      </w:r>
      <w:proofErr w:type="spellStart"/>
      <w:r w:rsidRPr="00983A4F">
        <w:rPr>
          <w:sz w:val="30"/>
          <w:szCs w:val="30"/>
        </w:rPr>
        <w:t>Perkotaan</w:t>
      </w:r>
      <w:proofErr w:type="spellEnd"/>
      <w:r w:rsidRPr="00983A4F">
        <w:rPr>
          <w:sz w:val="30"/>
          <w:szCs w:val="30"/>
        </w:rPr>
        <w:t xml:space="preserve"> (Kajian </w:t>
      </w:r>
      <w:proofErr w:type="spellStart"/>
      <w:r w:rsidRPr="00983A4F">
        <w:rPr>
          <w:sz w:val="30"/>
          <w:szCs w:val="30"/>
        </w:rPr>
        <w:t>Literatur</w:t>
      </w:r>
      <w:proofErr w:type="spellEnd"/>
      <w:r w:rsidRPr="00983A4F">
        <w:rPr>
          <w:sz w:val="30"/>
          <w:szCs w:val="30"/>
        </w:rPr>
        <w:t xml:space="preserve"> </w:t>
      </w:r>
      <w:proofErr w:type="spellStart"/>
      <w:r w:rsidRPr="00983A4F">
        <w:rPr>
          <w:sz w:val="30"/>
          <w:szCs w:val="30"/>
        </w:rPr>
        <w:t>Berbasis</w:t>
      </w:r>
      <w:proofErr w:type="spellEnd"/>
      <w:r w:rsidRPr="00983A4F">
        <w:rPr>
          <w:sz w:val="30"/>
          <w:szCs w:val="30"/>
        </w:rPr>
        <w:t xml:space="preserve"> Teori Pierre Bourdieu)</w:t>
      </w:r>
    </w:p>
    <w:p w14:paraId="18E6D4FF" w14:textId="77777777" w:rsidR="009B3458" w:rsidRDefault="009B3458" w:rsidP="009B3458">
      <w:pPr>
        <w:spacing w:after="0"/>
        <w:rPr>
          <w:b/>
          <w:bCs/>
        </w:rPr>
      </w:pPr>
    </w:p>
    <w:p w14:paraId="2FA41A97" w14:textId="6FE603A8" w:rsidR="009B3458" w:rsidRDefault="009B3458" w:rsidP="00983A4F">
      <w:pPr>
        <w:spacing w:after="0"/>
        <w:jc w:val="center"/>
        <w:rPr>
          <w:vertAlign w:val="superscript"/>
        </w:rPr>
      </w:pPr>
      <w:proofErr w:type="spellStart"/>
      <w:r w:rsidRPr="000740BF">
        <w:rPr>
          <w:szCs w:val="20"/>
        </w:rPr>
        <w:t>Muh.Yusri</w:t>
      </w:r>
      <w:proofErr w:type="spellEnd"/>
      <w:r w:rsidRPr="000740BF">
        <w:rPr>
          <w:szCs w:val="20"/>
        </w:rPr>
        <w:t xml:space="preserve"> Yunus</w:t>
      </w:r>
      <w:proofErr w:type="gramStart"/>
      <w:r w:rsidRPr="000740BF">
        <w:rPr>
          <w:szCs w:val="20"/>
          <w:vertAlign w:val="superscript"/>
        </w:rPr>
        <w:t>1</w:t>
      </w:r>
      <w:r w:rsidR="00983A4F">
        <w:rPr>
          <w:szCs w:val="20"/>
          <w:vertAlign w:val="superscript"/>
        </w:rPr>
        <w:t xml:space="preserve"> </w:t>
      </w:r>
      <w:r w:rsidR="00983A4F">
        <w:t>,</w:t>
      </w:r>
      <w:proofErr w:type="gramEnd"/>
      <w:r w:rsidR="00983A4F">
        <w:t xml:space="preserve"> </w:t>
      </w:r>
      <w:proofErr w:type="spellStart"/>
      <w:r w:rsidRPr="000740BF">
        <w:t>Syamsu</w:t>
      </w:r>
      <w:proofErr w:type="spellEnd"/>
      <w:r w:rsidRPr="000740BF">
        <w:t xml:space="preserve"> A</w:t>
      </w:r>
      <w:r>
        <w:t>.</w:t>
      </w:r>
      <w:r w:rsidRPr="000740BF">
        <w:t xml:space="preserve"> Kamaruddin</w:t>
      </w:r>
      <w:r w:rsidRPr="000740BF">
        <w:rPr>
          <w:vertAlign w:val="superscript"/>
        </w:rPr>
        <w:t>2</w:t>
      </w:r>
      <w:r w:rsidRPr="000740BF">
        <w:rPr>
          <w:rFonts w:eastAsia="Century Gothic"/>
        </w:rPr>
        <w:t xml:space="preserve">, </w:t>
      </w:r>
      <w:proofErr w:type="spellStart"/>
      <w:r w:rsidRPr="000740BF">
        <w:t>Arlin</w:t>
      </w:r>
      <w:proofErr w:type="spellEnd"/>
      <w:r w:rsidRPr="000740BF">
        <w:t xml:space="preserve"> Adam</w:t>
      </w:r>
      <w:r w:rsidRPr="000740BF">
        <w:rPr>
          <w:vertAlign w:val="superscript"/>
        </w:rPr>
        <w:t>3</w:t>
      </w:r>
    </w:p>
    <w:p w14:paraId="2679DFDA" w14:textId="77777777" w:rsidR="009B3458" w:rsidRPr="00983A4F" w:rsidRDefault="009B3458" w:rsidP="009B3458">
      <w:pPr>
        <w:spacing w:after="0"/>
        <w:jc w:val="center"/>
        <w:rPr>
          <w:color w:val="000000" w:themeColor="text1"/>
          <w:sz w:val="18"/>
          <w:szCs w:val="18"/>
          <w:vertAlign w:val="superscript"/>
        </w:rPr>
      </w:pPr>
      <w:r w:rsidRPr="00983A4F">
        <w:rPr>
          <w:sz w:val="18"/>
          <w:szCs w:val="18"/>
          <w:vertAlign w:val="superscript"/>
        </w:rPr>
        <w:t>1, 2</w:t>
      </w:r>
      <w:r w:rsidRPr="00983A4F">
        <w:rPr>
          <w:rFonts w:eastAsia="Times New Roman"/>
          <w:sz w:val="18"/>
          <w:szCs w:val="18"/>
          <w:lang w:eastAsia="id-ID"/>
        </w:rPr>
        <w:t xml:space="preserve">Universitas Negeri Makassar, Indonesia </w:t>
      </w:r>
    </w:p>
    <w:p w14:paraId="69CF5748" w14:textId="23F41A7E" w:rsidR="009B3458" w:rsidRPr="00983A4F" w:rsidRDefault="009B3458" w:rsidP="00983A4F">
      <w:pPr>
        <w:spacing w:after="0"/>
        <w:jc w:val="center"/>
        <w:rPr>
          <w:color w:val="000000" w:themeColor="text1"/>
          <w:sz w:val="18"/>
          <w:szCs w:val="18"/>
          <w:vertAlign w:val="superscript"/>
        </w:rPr>
      </w:pPr>
      <w:r w:rsidRPr="00983A4F">
        <w:rPr>
          <w:sz w:val="18"/>
          <w:szCs w:val="18"/>
          <w:vertAlign w:val="superscript"/>
        </w:rPr>
        <w:t>3</w:t>
      </w:r>
      <w:r w:rsidRPr="00983A4F">
        <w:rPr>
          <w:rFonts w:eastAsia="Times New Roman"/>
          <w:sz w:val="18"/>
          <w:szCs w:val="18"/>
          <w:lang w:eastAsia="id-ID"/>
        </w:rPr>
        <w:t xml:space="preserve">Universitas Mega </w:t>
      </w:r>
      <w:proofErr w:type="spellStart"/>
      <w:r w:rsidRPr="00983A4F">
        <w:rPr>
          <w:rFonts w:eastAsia="Times New Roman"/>
          <w:sz w:val="18"/>
          <w:szCs w:val="18"/>
          <w:lang w:eastAsia="id-ID"/>
        </w:rPr>
        <w:t>Buana</w:t>
      </w:r>
      <w:proofErr w:type="spellEnd"/>
      <w:r w:rsidRPr="00983A4F">
        <w:rPr>
          <w:rFonts w:eastAsia="Times New Roman"/>
          <w:sz w:val="18"/>
          <w:szCs w:val="18"/>
          <w:lang w:eastAsia="id-ID"/>
        </w:rPr>
        <w:t xml:space="preserve">, </w:t>
      </w:r>
      <w:proofErr w:type="spellStart"/>
      <w:r w:rsidRPr="00983A4F">
        <w:rPr>
          <w:rFonts w:eastAsia="Times New Roman"/>
          <w:sz w:val="18"/>
          <w:szCs w:val="18"/>
          <w:lang w:eastAsia="id-ID"/>
        </w:rPr>
        <w:t>Palopo</w:t>
      </w:r>
      <w:proofErr w:type="spellEnd"/>
      <w:r w:rsidRPr="00983A4F">
        <w:rPr>
          <w:rFonts w:eastAsia="Times New Roman"/>
          <w:sz w:val="18"/>
          <w:szCs w:val="18"/>
          <w:lang w:eastAsia="id-ID"/>
        </w:rPr>
        <w:t>, Indonesia</w:t>
      </w:r>
    </w:p>
    <w:p w14:paraId="713B8E3D" w14:textId="66A924D8" w:rsidR="009B3458" w:rsidRPr="00983A4F" w:rsidRDefault="00983A4F" w:rsidP="00983A4F">
      <w:pPr>
        <w:pStyle w:val="p1"/>
        <w:jc w:val="center"/>
        <w:rPr>
          <w:b/>
          <w:bCs/>
          <w:color w:val="000000" w:themeColor="text1"/>
          <w:sz w:val="18"/>
          <w:szCs w:val="18"/>
        </w:rPr>
      </w:pPr>
      <w:hyperlink r:id="rId9" w:history="1">
        <w:r w:rsidRPr="00983A4F">
          <w:rPr>
            <w:rStyle w:val="Hyperlink"/>
            <w:b/>
            <w:bCs/>
            <w:sz w:val="18"/>
            <w:szCs w:val="18"/>
          </w:rPr>
          <w:t>kaisar2mubarak@gmail.com</w:t>
        </w:r>
      </w:hyperlink>
      <w:r w:rsidR="009B3458" w:rsidRPr="00983A4F">
        <w:rPr>
          <w:rStyle w:val="s1"/>
          <w:rFonts w:eastAsiaTheme="majorEastAsia"/>
          <w:b/>
          <w:bCs/>
          <w:color w:val="000000" w:themeColor="text1"/>
          <w:sz w:val="18"/>
          <w:szCs w:val="18"/>
        </w:rPr>
        <w:t xml:space="preserve"> </w:t>
      </w:r>
      <w:r w:rsidRPr="00983A4F">
        <w:rPr>
          <w:rStyle w:val="s1"/>
          <w:rFonts w:eastAsiaTheme="majorEastAsia"/>
          <w:b/>
          <w:bCs/>
          <w:color w:val="000000" w:themeColor="text1"/>
          <w:sz w:val="18"/>
          <w:szCs w:val="18"/>
          <w:lang w:val="en-GB"/>
        </w:rPr>
        <w:t xml:space="preserve">, </w:t>
      </w:r>
      <w:hyperlink r:id="rId10" w:history="1">
        <w:r w:rsidRPr="00983A4F">
          <w:rPr>
            <w:rStyle w:val="Hyperlink"/>
            <w:b/>
            <w:bCs/>
            <w:sz w:val="18"/>
            <w:szCs w:val="18"/>
          </w:rPr>
          <w:t>syamsu.k@unm.ac.id</w:t>
        </w:r>
      </w:hyperlink>
      <w:r w:rsidR="009B3458" w:rsidRPr="00983A4F">
        <w:rPr>
          <w:b/>
          <w:bCs/>
          <w:color w:val="000000" w:themeColor="text1"/>
          <w:sz w:val="18"/>
          <w:szCs w:val="18"/>
        </w:rPr>
        <w:t xml:space="preserve"> </w:t>
      </w:r>
      <w:r w:rsidRPr="00983A4F">
        <w:rPr>
          <w:b/>
          <w:bCs/>
          <w:color w:val="000000" w:themeColor="text1"/>
          <w:sz w:val="18"/>
          <w:szCs w:val="18"/>
          <w:lang w:val="en-GB"/>
        </w:rPr>
        <w:t xml:space="preserve">, </w:t>
      </w:r>
      <w:hyperlink r:id="rId11" w:history="1">
        <w:r w:rsidRPr="00983A4F">
          <w:rPr>
            <w:rStyle w:val="Hyperlink"/>
            <w:b/>
            <w:bCs/>
            <w:sz w:val="18"/>
            <w:szCs w:val="18"/>
          </w:rPr>
          <w:t>arlin.adam73@gmail.com</w:t>
        </w:r>
      </w:hyperlink>
    </w:p>
    <w:p w14:paraId="28C9CBA6" w14:textId="65F2197D" w:rsidR="00900539" w:rsidRPr="00983A4F" w:rsidRDefault="00900539" w:rsidP="009B3458">
      <w:pPr>
        <w:spacing w:after="0"/>
        <w:rPr>
          <w:szCs w:val="20"/>
        </w:rPr>
      </w:pPr>
    </w:p>
    <w:p w14:paraId="0CC902A5" w14:textId="2471AB31" w:rsidR="00983A4F" w:rsidRPr="00983A4F" w:rsidRDefault="00983A4F" w:rsidP="009B3458">
      <w:pPr>
        <w:spacing w:after="0"/>
        <w:outlineLvl w:val="0"/>
        <w:rPr>
          <w:rFonts w:eastAsia="Times New Roman"/>
          <w:b/>
          <w:bCs/>
          <w:kern w:val="36"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Abstrak</w:t>
      </w:r>
      <w:proofErr w:type="spellEnd"/>
    </w:p>
    <w:p w14:paraId="77018514" w14:textId="77777777" w:rsidR="00983A4F" w:rsidRPr="00983A4F" w:rsidRDefault="00983A4F" w:rsidP="009B3458">
      <w:pPr>
        <w:spacing w:after="0"/>
        <w:outlineLvl w:val="0"/>
        <w:rPr>
          <w:rFonts w:eastAsia="Times New Roman"/>
          <w:b/>
          <w:bCs/>
          <w:kern w:val="36"/>
          <w:szCs w:val="20"/>
          <w:lang w:eastAsia="id-ID"/>
        </w:rPr>
      </w:pPr>
    </w:p>
    <w:p w14:paraId="5373EB91" w14:textId="16773A3A" w:rsidR="009B3458" w:rsidRPr="00983A4F" w:rsidRDefault="009B3458" w:rsidP="009B3458">
      <w:pPr>
        <w:spacing w:after="0"/>
        <w:outlineLvl w:val="0"/>
        <w:rPr>
          <w:rFonts w:eastAsia="Times New Roman"/>
          <w:i/>
          <w:iCs/>
          <w:sz w:val="18"/>
          <w:szCs w:val="18"/>
          <w:lang w:eastAsia="id-ID"/>
        </w:rPr>
      </w:pPr>
      <w:r w:rsidRPr="00983A4F">
        <w:rPr>
          <w:rFonts w:eastAsia="Times New Roman"/>
          <w:b/>
          <w:bCs/>
          <w:kern w:val="36"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Penelitian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bertujuan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menganalisis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bagaimana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modal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sosial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modal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budaya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habitus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struktur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ranah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berkontribusi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terhadap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reproduksi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ketimpangan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akses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layanan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di wilayah urban.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Metode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digunakan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adalah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Systematic Literature Review (SLR)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dengan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pendekatan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deskriptif-kualitatif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terhadap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42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artikel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ilmiah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laporan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institusi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internasional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buku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akademik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diterbitkan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pada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rentang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2014–2024.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Sumber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data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penelitian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terdiri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atas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artikel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ilmiah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laporan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resmi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lembaga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internasional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buku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akademik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diperoleh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melalui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lima basis data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utama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: (1) Scopus, (2) PubMed, (3) </w:t>
      </w:r>
      <w:proofErr w:type="gramStart"/>
      <w:r w:rsidRPr="00983A4F">
        <w:rPr>
          <w:rFonts w:eastAsia="Times New Roman"/>
          <w:i/>
          <w:iCs/>
          <w:sz w:val="18"/>
          <w:szCs w:val="18"/>
          <w:lang w:eastAsia="id-ID"/>
        </w:rPr>
        <w:t>DOAJ ,</w:t>
      </w:r>
      <w:proofErr w:type="gram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(4) Google Scholar, (5) SAGE Journals.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Analisis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dilakukan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dengan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metode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Thematic Analysis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dengan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Langkah-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langkahnya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: (1)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Familiarisasi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data. (2) Coding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awal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dan (3)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Membentuk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tema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Validitas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dijaga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melalui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beberapa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strategi: (1)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Triangulasi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sumber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dengan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menelusuri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berbagai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database, (2) Audit trail, (3) Peer debriefing dan (4)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Konsistensi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teori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Hasil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penelitian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menunjukkan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bahwa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modal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sosial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berperan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signifikan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dalam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menentukan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akses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informasi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medis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peluang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memperoleh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layanan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formal,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sementara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modal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budaya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berperan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dalam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pembentukan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literasi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mempengaruhi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preferensi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perilaku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pencarian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layanan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Habitus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masyarakat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miskin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kota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terbentuk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dari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tekanan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ekonomi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ketidakpastian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hidup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menghambat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prioritas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terhadap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perilaku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preventif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Ranah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di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perkotaan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memperlihatkan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hierarki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kelas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mempengaruhi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distribusi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akses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layanan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Secara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keseluruhan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ketimpangan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direproduksi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melalui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interaksi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modal, habitus, dan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struktur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ranah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,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sehingga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menciptakan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pola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ketidaksetaraan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yang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berkelanjutan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.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Temuan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menegaskan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perlunya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intervensi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struktural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berbasis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kelas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sosial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untuk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mengurangi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kesenjangan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kesehatan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di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kawasan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 xml:space="preserve"> </w:t>
      </w:r>
      <w:proofErr w:type="spellStart"/>
      <w:r w:rsidRPr="00983A4F">
        <w:rPr>
          <w:rFonts w:eastAsia="Times New Roman"/>
          <w:i/>
          <w:iCs/>
          <w:sz w:val="18"/>
          <w:szCs w:val="18"/>
          <w:lang w:eastAsia="id-ID"/>
        </w:rPr>
        <w:t>perkotaan</w:t>
      </w:r>
      <w:proofErr w:type="spellEnd"/>
      <w:r w:rsidRPr="00983A4F">
        <w:rPr>
          <w:rFonts w:eastAsia="Times New Roman"/>
          <w:i/>
          <w:iCs/>
          <w:sz w:val="18"/>
          <w:szCs w:val="18"/>
          <w:lang w:eastAsia="id-ID"/>
        </w:rPr>
        <w:t>.</w:t>
      </w:r>
    </w:p>
    <w:p w14:paraId="2120F850" w14:textId="77777777" w:rsidR="009B3458" w:rsidRPr="00983A4F" w:rsidRDefault="009B3458" w:rsidP="009B3458">
      <w:pPr>
        <w:spacing w:after="0"/>
        <w:rPr>
          <w:b/>
          <w:bCs/>
          <w:i/>
          <w:iCs/>
          <w:sz w:val="18"/>
          <w:szCs w:val="18"/>
        </w:rPr>
      </w:pPr>
    </w:p>
    <w:p w14:paraId="36805267" w14:textId="19D24AC9" w:rsidR="009B3458" w:rsidRPr="00983A4F" w:rsidRDefault="00983A4F" w:rsidP="00983A4F">
      <w:pPr>
        <w:spacing w:after="0"/>
        <w:rPr>
          <w:i/>
          <w:iCs/>
          <w:sz w:val="18"/>
          <w:szCs w:val="18"/>
          <w:lang w:val="sv-SE"/>
        </w:rPr>
      </w:pPr>
      <w:r w:rsidRPr="00983A4F">
        <w:rPr>
          <w:rStyle w:val="Strong"/>
          <w:i/>
          <w:iCs/>
          <w:sz w:val="18"/>
          <w:szCs w:val="18"/>
        </w:rPr>
        <w:t xml:space="preserve">Kata </w:t>
      </w:r>
      <w:proofErr w:type="spellStart"/>
      <w:r w:rsidRPr="00983A4F">
        <w:rPr>
          <w:rStyle w:val="Strong"/>
          <w:i/>
          <w:iCs/>
          <w:sz w:val="18"/>
          <w:szCs w:val="18"/>
        </w:rPr>
        <w:t>Kunci</w:t>
      </w:r>
      <w:proofErr w:type="spellEnd"/>
      <w:r w:rsidRPr="00983A4F">
        <w:rPr>
          <w:rStyle w:val="Strong"/>
          <w:b w:val="0"/>
          <w:bCs w:val="0"/>
          <w:i/>
          <w:iCs/>
          <w:sz w:val="18"/>
          <w:szCs w:val="18"/>
        </w:rPr>
        <w:t>:</w:t>
      </w:r>
      <w:r w:rsidRPr="00983A4F">
        <w:rPr>
          <w:i/>
          <w:iCs/>
          <w:sz w:val="18"/>
          <w:szCs w:val="18"/>
        </w:rPr>
        <w:t xml:space="preserve"> Modal </w:t>
      </w:r>
      <w:proofErr w:type="spellStart"/>
      <w:r w:rsidRPr="00983A4F">
        <w:rPr>
          <w:i/>
          <w:iCs/>
          <w:sz w:val="18"/>
          <w:szCs w:val="18"/>
        </w:rPr>
        <w:t>Sosial</w:t>
      </w:r>
      <w:proofErr w:type="spellEnd"/>
      <w:r w:rsidRPr="00983A4F">
        <w:rPr>
          <w:i/>
          <w:iCs/>
          <w:sz w:val="18"/>
          <w:szCs w:val="18"/>
        </w:rPr>
        <w:t xml:space="preserve"> </w:t>
      </w:r>
      <w:proofErr w:type="spellStart"/>
      <w:r w:rsidRPr="00983A4F">
        <w:rPr>
          <w:i/>
          <w:iCs/>
          <w:sz w:val="18"/>
          <w:szCs w:val="18"/>
        </w:rPr>
        <w:t>Budaya</w:t>
      </w:r>
      <w:proofErr w:type="spellEnd"/>
      <w:r w:rsidRPr="00983A4F">
        <w:rPr>
          <w:i/>
          <w:iCs/>
          <w:sz w:val="18"/>
          <w:szCs w:val="18"/>
        </w:rPr>
        <w:t xml:space="preserve">, Habitus Kesehatan, Masyarakat </w:t>
      </w:r>
      <w:proofErr w:type="spellStart"/>
      <w:r w:rsidRPr="00983A4F">
        <w:rPr>
          <w:i/>
          <w:iCs/>
          <w:sz w:val="18"/>
          <w:szCs w:val="18"/>
        </w:rPr>
        <w:t>Perkotaan</w:t>
      </w:r>
      <w:proofErr w:type="spellEnd"/>
      <w:r w:rsidRPr="00983A4F">
        <w:rPr>
          <w:i/>
          <w:iCs/>
          <w:sz w:val="18"/>
          <w:szCs w:val="18"/>
        </w:rPr>
        <w:t>, Pierre Bourdieu</w:t>
      </w:r>
      <w:r w:rsidRPr="00983A4F">
        <w:rPr>
          <w:i/>
          <w:iCs/>
          <w:sz w:val="18"/>
          <w:szCs w:val="18"/>
          <w:lang w:val="sv-SE"/>
        </w:rPr>
        <w:t xml:space="preserve"> </w:t>
      </w:r>
    </w:p>
    <w:p w14:paraId="36CDB0B2" w14:textId="77777777" w:rsidR="00983A4F" w:rsidRPr="00983A4F" w:rsidRDefault="00983A4F" w:rsidP="00983A4F">
      <w:pPr>
        <w:spacing w:after="0"/>
        <w:rPr>
          <w:i/>
          <w:iCs/>
          <w:szCs w:val="20"/>
        </w:rPr>
      </w:pPr>
    </w:p>
    <w:p w14:paraId="1E8CA5EF" w14:textId="5A54F90C" w:rsidR="009B3458" w:rsidRPr="00983A4F" w:rsidRDefault="00983A4F" w:rsidP="009B3458">
      <w:pPr>
        <w:spacing w:after="0" w:line="360" w:lineRule="auto"/>
        <w:outlineLvl w:val="0"/>
        <w:rPr>
          <w:rFonts w:eastAsia="Times New Roman"/>
          <w:b/>
          <w:bCs/>
          <w:kern w:val="36"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Pendahuluan</w:t>
      </w:r>
      <w:proofErr w:type="spellEnd"/>
    </w:p>
    <w:p w14:paraId="14C6748E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terhadap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salah </w:t>
      </w:r>
      <w:proofErr w:type="spellStart"/>
      <w:r w:rsidRPr="00983A4F">
        <w:rPr>
          <w:rFonts w:eastAsia="Times New Roman"/>
          <w:szCs w:val="20"/>
          <w:lang w:eastAsia="id-ID"/>
        </w:rPr>
        <w:t>satu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indikator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penting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kesejahteraan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Meskipun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identik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kelimpahan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berbagai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justru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menghadapi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paling </w:t>
      </w:r>
      <w:proofErr w:type="spellStart"/>
      <w:r w:rsidRPr="00983A4F">
        <w:rPr>
          <w:rFonts w:eastAsia="Times New Roman"/>
          <w:szCs w:val="20"/>
          <w:lang w:eastAsia="id-ID"/>
        </w:rPr>
        <w:t>tajam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pemanfaatan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</w:t>
      </w:r>
      <w:proofErr w:type="spellStart"/>
      <w:r w:rsidRPr="00983A4F">
        <w:rPr>
          <w:rFonts w:eastAsia="Times New Roman"/>
          <w:szCs w:val="20"/>
          <w:lang w:eastAsia="id-ID"/>
        </w:rPr>
        <w:t>Wulandari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et al., 2023).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tersebut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disebabkan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oleh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tetapi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juga </w:t>
      </w:r>
      <w:proofErr w:type="spellStart"/>
      <w:r w:rsidRPr="00983A4F">
        <w:rPr>
          <w:rFonts w:eastAsia="Times New Roman"/>
          <w:szCs w:val="20"/>
          <w:lang w:eastAsia="id-ID"/>
        </w:rPr>
        <w:t>dipengaruhi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faktor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kultural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political economy urban yang </w:t>
      </w:r>
      <w:proofErr w:type="spellStart"/>
      <w:r w:rsidRPr="00983A4F">
        <w:rPr>
          <w:rFonts w:eastAsia="Times New Roman"/>
          <w:szCs w:val="20"/>
          <w:lang w:eastAsia="id-ID"/>
        </w:rPr>
        <w:t>mengarah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pemisahan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konteks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Indonesia,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bekerja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sektor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informal </w:t>
      </w:r>
      <w:proofErr w:type="spellStart"/>
      <w:r w:rsidRPr="00983A4F">
        <w:rPr>
          <w:rFonts w:eastAsia="Times New Roman"/>
          <w:szCs w:val="20"/>
          <w:lang w:eastAsia="id-ID"/>
        </w:rPr>
        <w:t>menghadapi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hambatan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berlapis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keterbatasan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ketiadaan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asuransi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memadai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geografis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timpang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serta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keterbatasan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waktu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memeriksakan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Sementara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atas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terbaik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termasuk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rumah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swasta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premium.</w:t>
      </w:r>
    </w:p>
    <w:p w14:paraId="1C721DF1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fenomena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teori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Pierre Bourdieu </w:t>
      </w:r>
      <w:proofErr w:type="spellStart"/>
      <w:r w:rsidRPr="00983A4F">
        <w:rPr>
          <w:rFonts w:eastAsia="Times New Roman"/>
          <w:szCs w:val="20"/>
          <w:lang w:eastAsia="id-ID"/>
        </w:rPr>
        <w:t>menawarkan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kerangka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analitis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konsep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simbolik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habitus, dan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produk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ketidakadilan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struktural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tetapi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juga </w:t>
      </w:r>
      <w:proofErr w:type="spellStart"/>
      <w:r w:rsidRPr="00983A4F">
        <w:rPr>
          <w:rFonts w:eastAsia="Times New Roman"/>
          <w:szCs w:val="20"/>
          <w:lang w:eastAsia="id-ID"/>
        </w:rPr>
        <w:t>hasil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reproduksi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disposisi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kultural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lastRenderedPageBreak/>
        <w:t>memengaruhi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individu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tubuh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risiko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tindakan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(Zhao, 2022</w:t>
      </w:r>
      <w:proofErr w:type="gramStart"/>
      <w:r w:rsidRPr="00983A4F">
        <w:rPr>
          <w:rFonts w:eastAsia="Times New Roman"/>
          <w:szCs w:val="20"/>
          <w:lang w:eastAsia="id-ID"/>
        </w:rPr>
        <w:t>).</w:t>
      </w:r>
      <w:proofErr w:type="spellStart"/>
      <w:r w:rsidRPr="00983A4F">
        <w:rPr>
          <w:rFonts w:eastAsia="Times New Roman"/>
          <w:szCs w:val="20"/>
          <w:lang w:eastAsia="id-ID"/>
        </w:rPr>
        <w:t>Artikel</w:t>
      </w:r>
      <w:proofErr w:type="spellEnd"/>
      <w:proofErr w:type="gram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bertujuan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menganalisis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perspektif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Bourdieu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kajian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sistematis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(systematic literature review).</w:t>
      </w:r>
    </w:p>
    <w:p w14:paraId="60F35C6C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Menurut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Bourdieu (1990), </w:t>
      </w:r>
      <w:proofErr w:type="spellStart"/>
      <w:r w:rsidRPr="00983A4F">
        <w:rPr>
          <w:rFonts w:eastAsia="Times New Roman"/>
          <w:szCs w:val="20"/>
          <w:lang w:eastAsia="id-ID"/>
        </w:rPr>
        <w:t>kehidupan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dibentuk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oleh </w:t>
      </w:r>
      <w:proofErr w:type="spellStart"/>
      <w:r w:rsidRPr="00983A4F">
        <w:rPr>
          <w:rFonts w:eastAsia="Times New Roman"/>
          <w:szCs w:val="20"/>
          <w:lang w:eastAsia="id-ID"/>
        </w:rPr>
        <w:t>hubungan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dinamis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antara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r w:rsidRPr="00983A4F">
        <w:rPr>
          <w:rFonts w:eastAsia="Times New Roman"/>
          <w:i/>
          <w:iCs/>
          <w:szCs w:val="20"/>
          <w:lang w:eastAsia="id-ID"/>
        </w:rPr>
        <w:t>modal</w:t>
      </w:r>
      <w:r w:rsidRPr="00983A4F">
        <w:rPr>
          <w:rFonts w:eastAsia="Times New Roman"/>
          <w:szCs w:val="20"/>
          <w:lang w:eastAsia="id-ID"/>
        </w:rPr>
        <w:t xml:space="preserve">, </w:t>
      </w:r>
      <w:r w:rsidRPr="00983A4F">
        <w:rPr>
          <w:rFonts w:eastAsia="Times New Roman"/>
          <w:i/>
          <w:iCs/>
          <w:szCs w:val="20"/>
          <w:lang w:eastAsia="id-ID"/>
        </w:rPr>
        <w:t>habitus</w:t>
      </w:r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i/>
          <w:iCs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Ketiga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konsep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saling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menjelaskan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bagaimana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struktur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direproduksi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praktik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sehari-hari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32D8C13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seperangkat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disposisi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tubuh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pandang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praktik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diperoleh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pengalaman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hidup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Habitus </w:t>
      </w:r>
      <w:proofErr w:type="spellStart"/>
      <w:r w:rsidRPr="00983A4F">
        <w:rPr>
          <w:rFonts w:eastAsia="Times New Roman"/>
          <w:szCs w:val="20"/>
          <w:lang w:eastAsia="id-ID"/>
        </w:rPr>
        <w:t>terbentuk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lingkungan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keluarga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paparan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pendidikan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nilai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pengalaman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masa </w:t>
      </w:r>
      <w:proofErr w:type="spellStart"/>
      <w:r w:rsidRPr="00983A4F">
        <w:rPr>
          <w:rFonts w:eastAsia="Times New Roman"/>
          <w:szCs w:val="20"/>
          <w:lang w:eastAsia="id-ID"/>
        </w:rPr>
        <w:t>lalu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atas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proaktif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check-up </w:t>
      </w:r>
      <w:proofErr w:type="spellStart"/>
      <w:r w:rsidRPr="00983A4F">
        <w:rPr>
          <w:rFonts w:eastAsia="Times New Roman"/>
          <w:szCs w:val="20"/>
          <w:lang w:eastAsia="id-ID"/>
        </w:rPr>
        <w:t>rutin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vaksinasi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konsumsi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sehat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memilih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Sebaliknya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miskin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habitus </w:t>
      </w:r>
      <w:proofErr w:type="spellStart"/>
      <w:r w:rsidRPr="00983A4F">
        <w:rPr>
          <w:rFonts w:eastAsia="Times New Roman"/>
          <w:szCs w:val="20"/>
          <w:lang w:eastAsia="id-ID"/>
        </w:rPr>
        <w:t>reaktif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berobat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setelah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parah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mengandalkan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obat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murah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menunda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pemeriksaan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(Sari &amp; Fitria, 2021).</w:t>
      </w:r>
    </w:p>
    <w:p w14:paraId="3563A3DF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mencakup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norma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kepercayaan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memfasilitasi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tindakan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kolektif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(Putnam, 2000).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konteks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berfungsi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sumber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dokter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dukungan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keluarga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memobilisasi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bantuan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4A927C4D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</w:t>
      </w:r>
      <w:proofErr w:type="spellStart"/>
      <w:r w:rsidRPr="00983A4F">
        <w:rPr>
          <w:rFonts w:eastAsia="Times New Roman"/>
          <w:szCs w:val="20"/>
          <w:lang w:eastAsia="id-ID"/>
        </w:rPr>
        <w:t>pendidikan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gaya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hidup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) sangat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perilaku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Studi Kim &amp; </w:t>
      </w:r>
      <w:proofErr w:type="spellStart"/>
      <w:r w:rsidRPr="00983A4F">
        <w:rPr>
          <w:rFonts w:eastAsia="Times New Roman"/>
          <w:szCs w:val="20"/>
          <w:lang w:eastAsia="id-ID"/>
        </w:rPr>
        <w:t>Kawachi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(2018) </w:t>
      </w:r>
      <w:proofErr w:type="spellStart"/>
      <w:r w:rsidRPr="00983A4F">
        <w:rPr>
          <w:rFonts w:eastAsia="Times New Roman"/>
          <w:szCs w:val="20"/>
          <w:lang w:eastAsia="id-ID"/>
        </w:rPr>
        <w:t>menegaskan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membuka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arena </w:t>
      </w:r>
      <w:proofErr w:type="spellStart"/>
      <w:r w:rsidRPr="00983A4F">
        <w:rPr>
          <w:rFonts w:eastAsia="Times New Roman"/>
          <w:szCs w:val="20"/>
          <w:lang w:eastAsia="id-ID"/>
        </w:rPr>
        <w:t>perebutan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modal, </w:t>
      </w:r>
      <w:proofErr w:type="spellStart"/>
      <w:r w:rsidRPr="00983A4F">
        <w:rPr>
          <w:rFonts w:eastAsia="Times New Roman"/>
          <w:szCs w:val="20"/>
          <w:lang w:eastAsia="id-ID"/>
        </w:rPr>
        <w:t>misalnya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rumah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premium (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), </w:t>
      </w:r>
      <w:proofErr w:type="spellStart"/>
      <w:r w:rsidRPr="00983A4F">
        <w:rPr>
          <w:rFonts w:eastAsia="Times New Roman"/>
          <w:szCs w:val="20"/>
          <w:lang w:eastAsia="id-ID"/>
        </w:rPr>
        <w:t>puskesmas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bawah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), </w:t>
      </w:r>
      <w:proofErr w:type="spellStart"/>
      <w:r w:rsidRPr="00983A4F">
        <w:rPr>
          <w:rFonts w:eastAsia="Times New Roman"/>
          <w:szCs w:val="20"/>
          <w:lang w:eastAsia="id-ID"/>
        </w:rPr>
        <w:t>klinik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swasta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praktik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alternatif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aturan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setara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sehingga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memproduksi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hierarki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0B76B17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Berbagai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studi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(WHO, 2022; Harpham, 2014)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kota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justru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tinggi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dibanding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desa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faktor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struktural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&amp; </w:t>
      </w:r>
      <w:proofErr w:type="spellStart"/>
      <w:r w:rsidRPr="00983A4F">
        <w:rPr>
          <w:rFonts w:eastAsia="Times New Roman"/>
          <w:szCs w:val="20"/>
          <w:lang w:eastAsia="id-ID"/>
        </w:rPr>
        <w:t>kultural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pemanfaatan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Determinannya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meliputi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pendapatan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pekerjaan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formal–informal, </w:t>
      </w:r>
      <w:proofErr w:type="spellStart"/>
      <w:r w:rsidRPr="00983A4F">
        <w:rPr>
          <w:rFonts w:eastAsia="Times New Roman"/>
          <w:szCs w:val="20"/>
          <w:lang w:eastAsia="id-ID"/>
        </w:rPr>
        <w:t>kepercayaan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Kesenjangan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mengarah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stratifikasi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sering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disadari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1134C651" w14:textId="473693F3" w:rsidR="00983A4F" w:rsidRPr="00983A4F" w:rsidRDefault="009B3458" w:rsidP="00983A4F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menjadi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pendorong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perilaku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(Kim &amp; </w:t>
      </w:r>
      <w:proofErr w:type="spellStart"/>
      <w:r w:rsidRPr="00983A4F">
        <w:rPr>
          <w:rFonts w:eastAsia="Times New Roman"/>
          <w:szCs w:val="20"/>
          <w:lang w:eastAsia="id-ID"/>
        </w:rPr>
        <w:t>Kawachi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2018). </w:t>
      </w:r>
      <w:proofErr w:type="spellStart"/>
      <w:r w:rsidRPr="00983A4F">
        <w:rPr>
          <w:rFonts w:eastAsia="Times New Roman"/>
          <w:szCs w:val="20"/>
          <w:lang w:eastAsia="id-ID"/>
        </w:rPr>
        <w:t>Contoh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keluarga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memudahkan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dokter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komunitas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religius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mobil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ambulans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profesional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rumah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premium.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juga sangat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memilih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diet </w:t>
      </w:r>
      <w:proofErr w:type="spellStart"/>
      <w:r w:rsidRPr="00983A4F">
        <w:rPr>
          <w:rFonts w:eastAsia="Times New Roman"/>
          <w:szCs w:val="20"/>
          <w:lang w:eastAsia="id-ID"/>
        </w:rPr>
        <w:t>tertentu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memprioritaskan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pemeriksaan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demikian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kedua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tersebut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berperan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besar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atau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memperlemah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1C80DC2" w14:textId="5823263B" w:rsidR="009B3458" w:rsidRPr="00983A4F" w:rsidRDefault="00983A4F" w:rsidP="009B3458">
      <w:pPr>
        <w:spacing w:after="0" w:line="360" w:lineRule="auto"/>
        <w:outlineLvl w:val="0"/>
        <w:rPr>
          <w:rFonts w:eastAsia="Times New Roman"/>
          <w:b/>
          <w:bCs/>
          <w:kern w:val="36"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Metode</w:t>
      </w:r>
      <w:proofErr w:type="spellEnd"/>
    </w:p>
    <w:p w14:paraId="22C4B128" w14:textId="77777777" w:rsidR="009B3458" w:rsidRPr="00983A4F" w:rsidRDefault="009B3458" w:rsidP="009B3458">
      <w:pPr>
        <w:spacing w:after="0" w:line="360" w:lineRule="auto"/>
        <w:outlineLvl w:val="1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Desain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Penelitian</w:t>
      </w:r>
      <w:proofErr w:type="spellEnd"/>
    </w:p>
    <w:p w14:paraId="6ECD11BD" w14:textId="77777777" w:rsidR="009B3458" w:rsidRPr="00983A4F" w:rsidRDefault="009B3458" w:rsidP="009B3458">
      <w:pPr>
        <w:spacing w:after="0" w:line="360" w:lineRule="auto"/>
        <w:ind w:firstLine="720"/>
        <w:outlineLvl w:val="1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Systematic Literature Review (SLR)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deskriptif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kualitatif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SLR </w:t>
      </w:r>
      <w:proofErr w:type="spellStart"/>
      <w:r w:rsidRPr="00983A4F">
        <w:rPr>
          <w:rFonts w:eastAsia="Times New Roman"/>
          <w:szCs w:val="20"/>
          <w:lang w:eastAsia="id-ID"/>
        </w:rPr>
        <w:t>dipilih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karena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mampu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menyediakan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prosedur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penelusuran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sistematis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transparan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direplikasi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(Snyder, 2019).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peneliti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(1) </w:t>
      </w:r>
      <w:proofErr w:type="spellStart"/>
      <w:r w:rsidRPr="00983A4F">
        <w:rPr>
          <w:rFonts w:eastAsia="Times New Roman"/>
          <w:szCs w:val="20"/>
          <w:lang w:eastAsia="id-ID"/>
        </w:rPr>
        <w:t>mengidentifikasi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terkait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habitus, dan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(2) </w:t>
      </w:r>
      <w:proofErr w:type="spellStart"/>
      <w:r w:rsidRPr="00983A4F">
        <w:rPr>
          <w:rFonts w:eastAsia="Times New Roman"/>
          <w:szCs w:val="20"/>
          <w:lang w:eastAsia="id-ID"/>
        </w:rPr>
        <w:t>mengevaluasi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relevansi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serta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(3) </w:t>
      </w:r>
      <w:proofErr w:type="spellStart"/>
      <w:r w:rsidRPr="00983A4F">
        <w:rPr>
          <w:rFonts w:eastAsia="Times New Roman"/>
          <w:szCs w:val="20"/>
          <w:lang w:eastAsia="id-ID"/>
        </w:rPr>
        <w:t>mensintesis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menjadi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tematik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koheren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deskriptif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kualitatif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memberikan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interpretasi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terhadap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dikontekstualisasikan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kerangka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Pierre Bourdieu.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dipilih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karena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sesuai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fenomena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urban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kultural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(Given, 2016). Proses SLR </w:t>
      </w:r>
      <w:proofErr w:type="spellStart"/>
      <w:r w:rsidRPr="00983A4F">
        <w:rPr>
          <w:rFonts w:eastAsia="Times New Roman"/>
          <w:szCs w:val="20"/>
          <w:lang w:eastAsia="id-ID"/>
        </w:rPr>
        <w:t>mengikuti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panduan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Preferred Reporting Items for Systematic </w:t>
      </w:r>
      <w:r w:rsidRPr="00983A4F">
        <w:rPr>
          <w:rFonts w:eastAsia="Times New Roman"/>
          <w:szCs w:val="20"/>
          <w:lang w:eastAsia="id-ID"/>
        </w:rPr>
        <w:lastRenderedPageBreak/>
        <w:t xml:space="preserve">Reviews and Meta-Analyses (PRISMA 2020) (Page et al., 2021), yang </w:t>
      </w:r>
      <w:proofErr w:type="spellStart"/>
      <w:r w:rsidRPr="00983A4F">
        <w:rPr>
          <w:rFonts w:eastAsia="Times New Roman"/>
          <w:szCs w:val="20"/>
          <w:lang w:eastAsia="id-ID"/>
        </w:rPr>
        <w:t>terdiri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tahap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identifikasi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penyaringan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penilaian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kelayakan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sintesis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akhir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4C2E6111" w14:textId="77777777" w:rsidR="009B3458" w:rsidRPr="00983A4F" w:rsidRDefault="009B3458" w:rsidP="009B3458">
      <w:pPr>
        <w:spacing w:after="0" w:line="360" w:lineRule="auto"/>
        <w:outlineLvl w:val="1"/>
        <w:rPr>
          <w:rFonts w:eastAsia="Times New Roman"/>
          <w:b/>
          <w:bCs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Sumber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Data</w:t>
      </w:r>
    </w:p>
    <w:p w14:paraId="2A4EA81D" w14:textId="77777777" w:rsidR="009B3458" w:rsidRPr="00983A4F" w:rsidRDefault="009B3458" w:rsidP="009B3458">
      <w:pPr>
        <w:spacing w:after="0" w:line="360" w:lineRule="auto"/>
        <w:ind w:firstLine="720"/>
        <w:outlineLvl w:val="1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Sumber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data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terdiri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artikel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ilmiah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laporan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resmi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lembaga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internasional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buku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akademik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diperoleh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lima basis data </w:t>
      </w:r>
      <w:proofErr w:type="spellStart"/>
      <w:r w:rsidRPr="00983A4F">
        <w:rPr>
          <w:rFonts w:eastAsia="Times New Roman"/>
          <w:szCs w:val="20"/>
          <w:lang w:eastAsia="id-ID"/>
        </w:rPr>
        <w:t>utama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(1) Scopus → </w:t>
      </w:r>
      <w:proofErr w:type="spellStart"/>
      <w:r w:rsidRPr="00983A4F">
        <w:rPr>
          <w:rFonts w:eastAsia="Times New Roman"/>
          <w:szCs w:val="20"/>
          <w:lang w:eastAsia="id-ID"/>
        </w:rPr>
        <w:t>artikel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bereputasi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internasional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tentang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sosiologi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(2) PubMed → </w:t>
      </w:r>
      <w:proofErr w:type="spellStart"/>
      <w:r w:rsidRPr="00983A4F">
        <w:rPr>
          <w:rFonts w:eastAsia="Times New Roman"/>
          <w:szCs w:val="20"/>
          <w:lang w:eastAsia="id-ID"/>
        </w:rPr>
        <w:t>fokus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publik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epidemiologi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urban health. (3) DOAJ →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open-access </w:t>
      </w:r>
      <w:proofErr w:type="spellStart"/>
      <w:r w:rsidRPr="00983A4F">
        <w:rPr>
          <w:rFonts w:eastAsia="Times New Roman"/>
          <w:szCs w:val="20"/>
          <w:lang w:eastAsia="id-ID"/>
        </w:rPr>
        <w:t>relevan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(4) Google Scholar → </w:t>
      </w:r>
      <w:proofErr w:type="spellStart"/>
      <w:r w:rsidRPr="00983A4F">
        <w:rPr>
          <w:rFonts w:eastAsia="Times New Roman"/>
          <w:szCs w:val="20"/>
          <w:lang w:eastAsia="id-ID"/>
        </w:rPr>
        <w:t>menjangkau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publikasi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regional dan </w:t>
      </w:r>
      <w:proofErr w:type="spellStart"/>
      <w:r w:rsidRPr="00983A4F">
        <w:rPr>
          <w:rFonts w:eastAsia="Times New Roman"/>
          <w:szCs w:val="20"/>
          <w:lang w:eastAsia="id-ID"/>
        </w:rPr>
        <w:t>nasional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(5) SAGE Journals → </w:t>
      </w:r>
      <w:proofErr w:type="spellStart"/>
      <w:r w:rsidRPr="00983A4F">
        <w:rPr>
          <w:rFonts w:eastAsia="Times New Roman"/>
          <w:szCs w:val="20"/>
          <w:lang w:eastAsia="id-ID"/>
        </w:rPr>
        <w:t>riset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terkait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sosiologi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cultural studies, dan health inequality. </w:t>
      </w:r>
      <w:proofErr w:type="spellStart"/>
      <w:r w:rsidRPr="00983A4F">
        <w:rPr>
          <w:rFonts w:eastAsia="Times New Roman"/>
          <w:szCs w:val="20"/>
          <w:lang w:eastAsia="id-ID"/>
        </w:rPr>
        <w:t>Penggunaan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beragam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database </w:t>
      </w:r>
      <w:proofErr w:type="spellStart"/>
      <w:r w:rsidRPr="00983A4F">
        <w:rPr>
          <w:rFonts w:eastAsia="Times New Roman"/>
          <w:szCs w:val="20"/>
          <w:lang w:eastAsia="id-ID"/>
        </w:rPr>
        <w:t>direkomendasikan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SLR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mengurangi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bias </w:t>
      </w:r>
      <w:proofErr w:type="spellStart"/>
      <w:r w:rsidRPr="00983A4F">
        <w:rPr>
          <w:rFonts w:eastAsia="Times New Roman"/>
          <w:szCs w:val="20"/>
          <w:lang w:eastAsia="id-ID"/>
        </w:rPr>
        <w:t>sumber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meningkatkan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(Xiao &amp; Watson, 2019).</w:t>
      </w:r>
    </w:p>
    <w:p w14:paraId="26941955" w14:textId="77777777" w:rsidR="009B3458" w:rsidRPr="00983A4F" w:rsidRDefault="009B3458" w:rsidP="009B3458">
      <w:pPr>
        <w:spacing w:after="0" w:line="360" w:lineRule="auto"/>
        <w:outlineLvl w:val="1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Strategi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Pencarian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Literatur</w:t>
      </w:r>
      <w:proofErr w:type="spellEnd"/>
    </w:p>
    <w:p w14:paraId="1A9C9F95" w14:textId="77777777" w:rsidR="009B3458" w:rsidRPr="00983A4F" w:rsidRDefault="009B3458" w:rsidP="009B3458">
      <w:pPr>
        <w:spacing w:after="0" w:line="360" w:lineRule="auto"/>
        <w:ind w:firstLine="720"/>
        <w:outlineLvl w:val="1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Strategi </w:t>
      </w:r>
      <w:proofErr w:type="spellStart"/>
      <w:r w:rsidRPr="00983A4F">
        <w:rPr>
          <w:rFonts w:eastAsia="Times New Roman"/>
          <w:szCs w:val="20"/>
          <w:lang w:eastAsia="id-ID"/>
        </w:rPr>
        <w:t>pencarian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dilakukan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kombinasi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kata </w:t>
      </w:r>
      <w:proofErr w:type="spellStart"/>
      <w:r w:rsidRPr="00983A4F">
        <w:rPr>
          <w:rFonts w:eastAsia="Times New Roman"/>
          <w:szCs w:val="20"/>
          <w:lang w:eastAsia="id-ID"/>
        </w:rPr>
        <w:t>kunci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operator Boolean (AND/OR) </w:t>
      </w:r>
      <w:proofErr w:type="spellStart"/>
      <w:r w:rsidRPr="00983A4F">
        <w:rPr>
          <w:rFonts w:eastAsia="Times New Roman"/>
          <w:szCs w:val="20"/>
          <w:lang w:eastAsia="id-ID"/>
        </w:rPr>
        <w:t>sebagai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berikut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“social capital” OR “cultural capital” OR “habitus” OR “Bourdieu” AND “health access” OR “health inequality” AND “urban health” OR “urban communities” AND “healthcare utilization”.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Indonesia </w:t>
      </w:r>
      <w:proofErr w:type="spellStart"/>
      <w:r w:rsidRPr="00983A4F">
        <w:rPr>
          <w:rFonts w:eastAsia="Times New Roman"/>
          <w:szCs w:val="20"/>
          <w:lang w:eastAsia="id-ID"/>
        </w:rPr>
        <w:t>digunakan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kata </w:t>
      </w:r>
      <w:proofErr w:type="spellStart"/>
      <w:r w:rsidRPr="00983A4F">
        <w:rPr>
          <w:rFonts w:eastAsia="Times New Roman"/>
          <w:szCs w:val="20"/>
          <w:lang w:eastAsia="id-ID"/>
        </w:rPr>
        <w:t>kunci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Teknik </w:t>
      </w:r>
      <w:proofErr w:type="spellStart"/>
      <w:r w:rsidRPr="00983A4F">
        <w:rPr>
          <w:rFonts w:eastAsia="Times New Roman"/>
          <w:szCs w:val="20"/>
          <w:lang w:eastAsia="id-ID"/>
        </w:rPr>
        <w:t>pencarian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mengikuti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rekomendasi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strategi </w:t>
      </w:r>
      <w:proofErr w:type="spellStart"/>
      <w:r w:rsidRPr="00983A4F">
        <w:rPr>
          <w:rFonts w:eastAsia="Times New Roman"/>
          <w:szCs w:val="20"/>
          <w:lang w:eastAsia="id-ID"/>
        </w:rPr>
        <w:t>penelusuran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SLR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bidang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ilmu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(Booth et al., 2016).</w:t>
      </w:r>
    </w:p>
    <w:p w14:paraId="05A2D878" w14:textId="77777777" w:rsidR="009B3458" w:rsidRPr="00983A4F" w:rsidRDefault="009B3458" w:rsidP="009B3458">
      <w:pPr>
        <w:spacing w:after="0" w:line="360" w:lineRule="auto"/>
        <w:outlineLvl w:val="1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Teknik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Analisis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Data</w:t>
      </w:r>
    </w:p>
    <w:p w14:paraId="5357360E" w14:textId="77777777" w:rsidR="009B3458" w:rsidRPr="00983A4F" w:rsidRDefault="009B3458" w:rsidP="009B3458">
      <w:pPr>
        <w:spacing w:after="0" w:line="360" w:lineRule="auto"/>
        <w:ind w:firstLine="720"/>
        <w:outlineLvl w:val="1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Analisis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dilakukan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metode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Thematic Analysis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Braun &amp; Clarke (2019), yang </w:t>
      </w:r>
      <w:proofErr w:type="spellStart"/>
      <w:r w:rsidRPr="00983A4F">
        <w:rPr>
          <w:rFonts w:eastAsia="Times New Roman"/>
          <w:szCs w:val="20"/>
          <w:lang w:eastAsia="id-ID"/>
        </w:rPr>
        <w:t>banyak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>–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mutakhir</w:t>
      </w:r>
      <w:proofErr w:type="spellEnd"/>
      <w:r w:rsidRPr="00983A4F">
        <w:rPr>
          <w:rFonts w:eastAsia="Times New Roman"/>
          <w:szCs w:val="20"/>
          <w:lang w:eastAsia="id-ID"/>
        </w:rPr>
        <w:t>. Langkah-</w:t>
      </w:r>
      <w:proofErr w:type="spellStart"/>
      <w:r w:rsidRPr="00983A4F">
        <w:rPr>
          <w:rFonts w:eastAsia="Times New Roman"/>
          <w:szCs w:val="20"/>
          <w:lang w:eastAsia="id-ID"/>
        </w:rPr>
        <w:t>langkahnya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(1) </w:t>
      </w:r>
      <w:proofErr w:type="spellStart"/>
      <w:r w:rsidRPr="00983A4F">
        <w:rPr>
          <w:rFonts w:eastAsia="Times New Roman"/>
          <w:szCs w:val="20"/>
          <w:lang w:eastAsia="id-ID"/>
        </w:rPr>
        <w:t>Familiarisasi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data; </w:t>
      </w:r>
      <w:proofErr w:type="spellStart"/>
      <w:r w:rsidRPr="00983A4F">
        <w:rPr>
          <w:rFonts w:eastAsia="Times New Roman"/>
          <w:szCs w:val="20"/>
          <w:lang w:eastAsia="id-ID"/>
        </w:rPr>
        <w:t>Membaca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seluruh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artikel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umum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(2) Coding </w:t>
      </w:r>
      <w:proofErr w:type="spellStart"/>
      <w:r w:rsidRPr="00983A4F">
        <w:rPr>
          <w:rFonts w:eastAsia="Times New Roman"/>
          <w:szCs w:val="20"/>
          <w:lang w:eastAsia="id-ID"/>
        </w:rPr>
        <w:t>awal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; </w:t>
      </w:r>
      <w:proofErr w:type="spellStart"/>
      <w:r w:rsidRPr="00983A4F">
        <w:rPr>
          <w:rFonts w:eastAsia="Times New Roman"/>
          <w:szCs w:val="20"/>
          <w:lang w:eastAsia="id-ID"/>
        </w:rPr>
        <w:t>Mengidentifikasi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elemen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terkait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habitus,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(3) </w:t>
      </w:r>
      <w:proofErr w:type="spellStart"/>
      <w:r w:rsidRPr="00983A4F">
        <w:rPr>
          <w:rFonts w:eastAsia="Times New Roman"/>
          <w:szCs w:val="20"/>
          <w:lang w:eastAsia="id-ID"/>
        </w:rPr>
        <w:t>Membentuk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; </w:t>
      </w:r>
      <w:proofErr w:type="spellStart"/>
      <w:r w:rsidRPr="00983A4F">
        <w:rPr>
          <w:rFonts w:eastAsia="Times New Roman"/>
          <w:szCs w:val="20"/>
          <w:lang w:eastAsia="id-ID"/>
        </w:rPr>
        <w:t>Mengelompokkan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kode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tema-tema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utama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Reproduksi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53C19558" w14:textId="77777777" w:rsidR="009B3458" w:rsidRPr="00983A4F" w:rsidRDefault="009B3458" w:rsidP="009B3458">
      <w:pPr>
        <w:spacing w:after="0" w:line="360" w:lineRule="auto"/>
        <w:outlineLvl w:val="1"/>
        <w:rPr>
          <w:rFonts w:eastAsia="Times New Roman"/>
          <w:b/>
          <w:bCs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szCs w:val="20"/>
          <w:lang w:eastAsia="id-ID"/>
        </w:rPr>
        <w:t>Validitas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Keandalan</w:t>
      </w:r>
      <w:proofErr w:type="spellEnd"/>
    </w:p>
    <w:p w14:paraId="36D7F96F" w14:textId="338BB266" w:rsidR="00983A4F" w:rsidRPr="00983A4F" w:rsidRDefault="009B3458" w:rsidP="00983A4F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Validitas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dijaga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beberapa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strategi: (1) </w:t>
      </w:r>
      <w:proofErr w:type="spellStart"/>
      <w:r w:rsidRPr="00983A4F">
        <w:rPr>
          <w:rFonts w:eastAsia="Times New Roman"/>
          <w:szCs w:val="20"/>
          <w:lang w:eastAsia="id-ID"/>
        </w:rPr>
        <w:t>Triangulasi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sumber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menelusuri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database (Xiao &amp; Watson, 2019). (2) Audit trail, </w:t>
      </w:r>
      <w:proofErr w:type="spellStart"/>
      <w:r w:rsidRPr="00983A4F">
        <w:rPr>
          <w:rFonts w:eastAsia="Times New Roman"/>
          <w:szCs w:val="20"/>
          <w:lang w:eastAsia="id-ID"/>
        </w:rPr>
        <w:t>yakni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dokumentasi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seluruh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proses </w:t>
      </w:r>
      <w:proofErr w:type="spellStart"/>
      <w:r w:rsidRPr="00983A4F">
        <w:rPr>
          <w:rFonts w:eastAsia="Times New Roman"/>
          <w:szCs w:val="20"/>
          <w:lang w:eastAsia="id-ID"/>
        </w:rPr>
        <w:t>seleksi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coding (Lincoln &amp; Guba, 2016). (3) Peer debriefing, </w:t>
      </w:r>
      <w:proofErr w:type="spellStart"/>
      <w:r w:rsidRPr="00983A4F">
        <w:rPr>
          <w:rFonts w:eastAsia="Times New Roman"/>
          <w:szCs w:val="20"/>
          <w:lang w:eastAsia="id-ID"/>
        </w:rPr>
        <w:t>yaitu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membandingkan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lain </w:t>
      </w:r>
      <w:proofErr w:type="spellStart"/>
      <w:r w:rsidRPr="00983A4F">
        <w:rPr>
          <w:rFonts w:eastAsia="Times New Roman"/>
          <w:szCs w:val="20"/>
          <w:lang w:eastAsia="id-ID"/>
        </w:rPr>
        <w:t>untuk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meningkatkan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objektivitas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(4) </w:t>
      </w:r>
      <w:proofErr w:type="spellStart"/>
      <w:r w:rsidRPr="00983A4F">
        <w:rPr>
          <w:rFonts w:eastAsia="Times New Roman"/>
          <w:szCs w:val="20"/>
          <w:lang w:eastAsia="id-ID"/>
        </w:rPr>
        <w:t>Konsistensi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yaitu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konsep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Bourdieu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konsisten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interpretasi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data. </w:t>
      </w:r>
      <w:proofErr w:type="spellStart"/>
      <w:r w:rsidRPr="00983A4F">
        <w:rPr>
          <w:rFonts w:eastAsia="Times New Roman"/>
          <w:szCs w:val="20"/>
          <w:lang w:eastAsia="id-ID"/>
        </w:rPr>
        <w:t>Pendekatan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memastikan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SLR </w:t>
      </w:r>
      <w:proofErr w:type="spellStart"/>
      <w:r w:rsidRPr="00983A4F">
        <w:rPr>
          <w:rFonts w:eastAsia="Times New Roman"/>
          <w:szCs w:val="20"/>
          <w:lang w:eastAsia="id-ID"/>
        </w:rPr>
        <w:t>memenuhi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standar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keterlacakan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transparansi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reliabilitas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041BB432" w14:textId="1F42424D" w:rsidR="009B3458" w:rsidRPr="00983A4F" w:rsidRDefault="00983A4F" w:rsidP="009B3458">
      <w:p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Hasil </w:t>
      </w:r>
      <w:r>
        <w:rPr>
          <w:rFonts w:eastAsia="Times New Roman"/>
          <w:b/>
          <w:bCs/>
          <w:szCs w:val="20"/>
          <w:lang w:eastAsia="id-ID"/>
        </w:rPr>
        <w:t>d</w:t>
      </w:r>
      <w:r w:rsidRPr="00983A4F">
        <w:rPr>
          <w:rFonts w:eastAsia="Times New Roman"/>
          <w:b/>
          <w:bCs/>
          <w:szCs w:val="20"/>
          <w:lang w:eastAsia="id-ID"/>
        </w:rPr>
        <w:t xml:space="preserve">an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Pembahasan</w:t>
      </w:r>
      <w:proofErr w:type="spellEnd"/>
    </w:p>
    <w:p w14:paraId="35DC9DF5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sebagai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Penentu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Akses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Kesehatan</w:t>
      </w:r>
    </w:p>
    <w:p w14:paraId="6BA497E4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Hasil </w:t>
      </w:r>
      <w:proofErr w:type="spellStart"/>
      <w:r w:rsidRPr="00983A4F">
        <w:rPr>
          <w:rFonts w:eastAsia="Times New Roman"/>
          <w:szCs w:val="20"/>
          <w:lang w:eastAsia="id-ID"/>
        </w:rPr>
        <w:t>analisis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merupakan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salah </w:t>
      </w:r>
      <w:proofErr w:type="spellStart"/>
      <w:r w:rsidRPr="00983A4F">
        <w:rPr>
          <w:rFonts w:eastAsia="Times New Roman"/>
          <w:szCs w:val="20"/>
          <w:lang w:eastAsia="id-ID"/>
        </w:rPr>
        <w:t>satu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variabel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paling </w:t>
      </w:r>
      <w:proofErr w:type="spellStart"/>
      <w:r w:rsidRPr="00983A4F">
        <w:rPr>
          <w:rFonts w:eastAsia="Times New Roman"/>
          <w:szCs w:val="20"/>
          <w:lang w:eastAsia="id-ID"/>
        </w:rPr>
        <w:t>konsisten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memengaruhi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kemudahan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urban. Zhao (2022) </w:t>
      </w:r>
      <w:proofErr w:type="spellStart"/>
      <w:r w:rsidRPr="00983A4F">
        <w:rPr>
          <w:rFonts w:eastAsia="Times New Roman"/>
          <w:szCs w:val="20"/>
          <w:lang w:eastAsia="id-ID"/>
        </w:rPr>
        <w:t>menemukan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migran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kota-kota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besar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Tiongkok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relasi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24640881" w14:textId="77777777" w:rsidR="009B3458" w:rsidRPr="00983A4F" w:rsidRDefault="009B3458" w:rsidP="009B3458">
      <w:pPr>
        <w:numPr>
          <w:ilvl w:val="0"/>
          <w:numId w:val="27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memperoleh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cepat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2CA70E50" w14:textId="77777777" w:rsidR="009B3458" w:rsidRPr="00983A4F" w:rsidRDefault="009B3458" w:rsidP="009B3458">
      <w:pPr>
        <w:numPr>
          <w:ilvl w:val="0"/>
          <w:numId w:val="27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mengetahui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berkualitas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1FDCD78D" w14:textId="77777777" w:rsidR="009B3458" w:rsidRPr="00983A4F" w:rsidRDefault="009B3458" w:rsidP="009B3458">
      <w:pPr>
        <w:numPr>
          <w:ilvl w:val="0"/>
          <w:numId w:val="27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mendapatkan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prioritas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rekomendasi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7645F072" w14:textId="77777777" w:rsidR="009B3458" w:rsidRPr="00983A4F" w:rsidRDefault="009B3458" w:rsidP="009B3458">
      <w:pPr>
        <w:numPr>
          <w:ilvl w:val="0"/>
          <w:numId w:val="27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memperoleh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dukungan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emosional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finansial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sosialnya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4263667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lastRenderedPageBreak/>
        <w:t>Temuan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konsisten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studi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Sari &amp; </w:t>
      </w:r>
      <w:proofErr w:type="spellStart"/>
      <w:r w:rsidRPr="00983A4F">
        <w:rPr>
          <w:rFonts w:eastAsia="Times New Roman"/>
          <w:szCs w:val="20"/>
          <w:lang w:eastAsia="id-ID"/>
        </w:rPr>
        <w:t>Fitria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(2021) di Indonesia yang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rendah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mengalami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penundaan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berobat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keraguan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cenderung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mengandalkan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metode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penyembuhan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informal </w:t>
      </w:r>
      <w:proofErr w:type="spellStart"/>
      <w:r w:rsidRPr="00983A4F">
        <w:rPr>
          <w:rFonts w:eastAsia="Times New Roman"/>
          <w:szCs w:val="20"/>
          <w:lang w:eastAsia="id-ID"/>
        </w:rPr>
        <w:t>atau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swadaya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karena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membantu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proses </w:t>
      </w:r>
      <w:proofErr w:type="spellStart"/>
      <w:r w:rsidRPr="00983A4F">
        <w:rPr>
          <w:rFonts w:eastAsia="Times New Roman"/>
          <w:szCs w:val="20"/>
          <w:lang w:eastAsia="id-ID"/>
        </w:rPr>
        <w:t>navigasi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birokrasi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Makna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teoretis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(Bourdieu):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sebagai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“</w:t>
      </w:r>
      <w:proofErr w:type="spellStart"/>
      <w:r w:rsidRPr="00983A4F">
        <w:rPr>
          <w:rFonts w:eastAsia="Times New Roman"/>
          <w:szCs w:val="20"/>
          <w:lang w:eastAsia="id-ID"/>
        </w:rPr>
        <w:t>kapital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dikonversi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”, </w:t>
      </w:r>
      <w:proofErr w:type="spellStart"/>
      <w:r w:rsidRPr="00983A4F">
        <w:rPr>
          <w:rFonts w:eastAsia="Times New Roman"/>
          <w:szCs w:val="20"/>
          <w:lang w:eastAsia="id-ID"/>
        </w:rPr>
        <w:t>misalnya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rekomendasi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menjadi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prioritas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klinik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tertentu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memberi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nilai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jaringan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tertentu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</w:t>
      </w:r>
      <w:proofErr w:type="spellStart"/>
      <w:r w:rsidRPr="00983A4F">
        <w:rPr>
          <w:rFonts w:eastAsia="Times New Roman"/>
          <w:szCs w:val="20"/>
          <w:lang w:eastAsia="id-ID"/>
        </w:rPr>
        <w:t>misalnya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rekomendasi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dokter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), </w:t>
      </w:r>
      <w:proofErr w:type="spellStart"/>
      <w:r w:rsidRPr="00983A4F">
        <w:rPr>
          <w:rFonts w:eastAsia="Times New Roman"/>
          <w:szCs w:val="20"/>
          <w:lang w:eastAsia="id-ID"/>
        </w:rPr>
        <w:t>sehingga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memperkuat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9020A52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Kesehatan</w:t>
      </w:r>
    </w:p>
    <w:p w14:paraId="5E52E433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memengaruhi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menafsirkan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dan </w:t>
      </w:r>
      <w:proofErr w:type="spellStart"/>
      <w:r w:rsidRPr="00983A4F">
        <w:rPr>
          <w:rFonts w:eastAsia="Times New Roman"/>
          <w:szCs w:val="20"/>
          <w:lang w:eastAsia="id-ID"/>
        </w:rPr>
        <w:t>mengambil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keputusan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2D094E79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Menurut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Wulandari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et al. (2023),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atas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memiliki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sehingga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mampu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5914388B" w14:textId="77777777" w:rsidR="009B3458" w:rsidRPr="00983A4F" w:rsidRDefault="009B3458" w:rsidP="009B3458">
      <w:pPr>
        <w:numPr>
          <w:ilvl w:val="0"/>
          <w:numId w:val="28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membaca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hasil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laboratorium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77CA1C5C" w14:textId="77777777" w:rsidR="009B3458" w:rsidRPr="00983A4F" w:rsidRDefault="009B3458" w:rsidP="009B3458">
      <w:pPr>
        <w:numPr>
          <w:ilvl w:val="0"/>
          <w:numId w:val="28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memahami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risiko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penyakit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kronis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1FAEFCE5" w14:textId="77777777" w:rsidR="009B3458" w:rsidRPr="00983A4F" w:rsidRDefault="009B3458" w:rsidP="009B3458">
      <w:pPr>
        <w:numPr>
          <w:ilvl w:val="0"/>
          <w:numId w:val="28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mengelola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sehat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1728A041" w14:textId="77777777" w:rsidR="009B3458" w:rsidRPr="00983A4F" w:rsidRDefault="009B3458" w:rsidP="009B3458">
      <w:pPr>
        <w:numPr>
          <w:ilvl w:val="0"/>
          <w:numId w:val="28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menyeleksi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digital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kritis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0C98A6E6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Sebaliknya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bawah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57476B64" w14:textId="77777777" w:rsidR="009B3458" w:rsidRPr="00983A4F" w:rsidRDefault="009B3458" w:rsidP="009B3458">
      <w:pPr>
        <w:numPr>
          <w:ilvl w:val="0"/>
          <w:numId w:val="29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rendahnya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pemahaman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tentang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gejala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penyakit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69EFD11D" w14:textId="77777777" w:rsidR="009B3458" w:rsidRPr="00983A4F" w:rsidRDefault="009B3458" w:rsidP="009B3458">
      <w:pPr>
        <w:numPr>
          <w:ilvl w:val="0"/>
          <w:numId w:val="29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kesalahan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menafsirkan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3036340E" w14:textId="77777777" w:rsidR="009B3458" w:rsidRPr="00983A4F" w:rsidRDefault="009B3458" w:rsidP="009B3458">
      <w:pPr>
        <w:numPr>
          <w:ilvl w:val="0"/>
          <w:numId w:val="29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kerentanan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terhadap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hoaks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atau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promosi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palsu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2A77D3DB" w14:textId="77777777" w:rsidR="009B3458" w:rsidRPr="00983A4F" w:rsidRDefault="009B3458" w:rsidP="009B3458">
      <w:pPr>
        <w:numPr>
          <w:ilvl w:val="0"/>
          <w:numId w:val="29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ketergantungan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pengobatan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tradisional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tanpa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pertimbangan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risiko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292E9960" w14:textId="7BBECDBD" w:rsidR="00983A4F" w:rsidRPr="00983A4F" w:rsidRDefault="009B3458" w:rsidP="00983A4F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Makna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teoretis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(Bourdieu):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faktor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kunci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pembentukan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Semakin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kaya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semakin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“</w:t>
      </w:r>
      <w:proofErr w:type="spellStart"/>
      <w:r w:rsidRPr="00983A4F">
        <w:rPr>
          <w:rFonts w:eastAsia="Times New Roman"/>
          <w:szCs w:val="20"/>
          <w:lang w:eastAsia="id-ID"/>
        </w:rPr>
        <w:t>terinternalisasi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” </w:t>
      </w:r>
      <w:proofErr w:type="spellStart"/>
      <w:r w:rsidRPr="00983A4F">
        <w:rPr>
          <w:rFonts w:eastAsia="Times New Roman"/>
          <w:szCs w:val="20"/>
          <w:lang w:eastAsia="id-ID"/>
        </w:rPr>
        <w:t>pola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hidup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sehat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sehingga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memperlebar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jurang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A25506F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 xml:space="preserve">Habitus Kesehatan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sebagai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Produk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Struktur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Sosial</w:t>
      </w:r>
      <w:proofErr w:type="spellEnd"/>
    </w:p>
    <w:p w14:paraId="048BBDEB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Habitus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masyarakat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miskin </w:t>
      </w:r>
      <w:proofErr w:type="spellStart"/>
      <w:r w:rsidRPr="00983A4F">
        <w:rPr>
          <w:rFonts w:eastAsia="Times New Roman"/>
          <w:szCs w:val="20"/>
          <w:lang w:eastAsia="id-ID"/>
        </w:rPr>
        <w:t>kota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umumnya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dibentuk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oleh </w:t>
      </w:r>
      <w:proofErr w:type="spellStart"/>
      <w:r w:rsidRPr="00983A4F">
        <w:rPr>
          <w:rFonts w:eastAsia="Times New Roman"/>
          <w:szCs w:val="20"/>
          <w:lang w:eastAsia="id-ID"/>
        </w:rPr>
        <w:t>kondisi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hidup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penuh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keterbatasan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Mooney (2015) </w:t>
      </w:r>
      <w:proofErr w:type="spellStart"/>
      <w:r w:rsidRPr="00983A4F">
        <w:rPr>
          <w:rFonts w:eastAsia="Times New Roman"/>
          <w:szCs w:val="20"/>
          <w:lang w:eastAsia="id-ID"/>
        </w:rPr>
        <w:t>menemukan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habitus </w:t>
      </w:r>
      <w:r w:rsidRPr="00983A4F">
        <w:rPr>
          <w:rFonts w:eastAsia="Times New Roman"/>
          <w:i/>
          <w:iCs/>
          <w:szCs w:val="20"/>
          <w:lang w:eastAsia="id-ID"/>
        </w:rPr>
        <w:t>survivalist</w:t>
      </w:r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muncul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dari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0001A323" w14:textId="77777777" w:rsidR="009B3458" w:rsidRPr="00983A4F" w:rsidRDefault="009B3458" w:rsidP="009B3458">
      <w:pPr>
        <w:numPr>
          <w:ilvl w:val="0"/>
          <w:numId w:val="30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tekanan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59DC231F" w14:textId="77777777" w:rsidR="009B3458" w:rsidRPr="00983A4F" w:rsidRDefault="009B3458" w:rsidP="009B3458">
      <w:pPr>
        <w:numPr>
          <w:ilvl w:val="0"/>
          <w:numId w:val="30"/>
        </w:numPr>
        <w:spacing w:after="0" w:line="360" w:lineRule="auto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jam </w:t>
      </w:r>
      <w:proofErr w:type="spellStart"/>
      <w:r w:rsidRPr="00983A4F">
        <w:rPr>
          <w:rFonts w:eastAsia="Times New Roman"/>
          <w:szCs w:val="20"/>
          <w:lang w:eastAsia="id-ID"/>
        </w:rPr>
        <w:t>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informal yang </w:t>
      </w:r>
      <w:proofErr w:type="spellStart"/>
      <w:r w:rsidRPr="00983A4F">
        <w:rPr>
          <w:rFonts w:eastAsia="Times New Roman"/>
          <w:szCs w:val="20"/>
          <w:lang w:eastAsia="id-ID"/>
        </w:rPr>
        <w:t>panjang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6D3C38F2" w14:textId="77777777" w:rsidR="009B3458" w:rsidRPr="00983A4F" w:rsidRDefault="009B3458" w:rsidP="009B3458">
      <w:pPr>
        <w:numPr>
          <w:ilvl w:val="0"/>
          <w:numId w:val="30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prioritas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pada </w:t>
      </w:r>
      <w:proofErr w:type="spellStart"/>
      <w:r w:rsidRPr="00983A4F">
        <w:rPr>
          <w:rFonts w:eastAsia="Times New Roman"/>
          <w:szCs w:val="20"/>
          <w:lang w:eastAsia="id-ID"/>
        </w:rPr>
        <w:t>kebutuhan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dasar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3A619E11" w14:textId="77777777" w:rsidR="009B3458" w:rsidRPr="00983A4F" w:rsidRDefault="009B3458" w:rsidP="009B3458">
      <w:pPr>
        <w:numPr>
          <w:ilvl w:val="0"/>
          <w:numId w:val="30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anggapan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harus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ditunda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sampai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parah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4DF9B948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Habitus </w:t>
      </w:r>
      <w:proofErr w:type="spellStart"/>
      <w:r w:rsidRPr="00983A4F">
        <w:rPr>
          <w:rFonts w:eastAsia="Times New Roman"/>
          <w:szCs w:val="20"/>
          <w:lang w:eastAsia="id-ID"/>
        </w:rPr>
        <w:t>ini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membuat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perilaku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seperti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cek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rutin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diet </w:t>
      </w:r>
      <w:proofErr w:type="spellStart"/>
      <w:r w:rsidRPr="00983A4F">
        <w:rPr>
          <w:rFonts w:eastAsia="Times New Roman"/>
          <w:szCs w:val="20"/>
          <w:lang w:eastAsia="id-ID"/>
        </w:rPr>
        <w:t>sehat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atau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olahraga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menjadi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signifikan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Makna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teoretis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(Bourdieu): Habitus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“</w:t>
      </w:r>
      <w:proofErr w:type="spellStart"/>
      <w:r w:rsidRPr="00983A4F">
        <w:rPr>
          <w:rFonts w:eastAsia="Times New Roman"/>
          <w:szCs w:val="20"/>
          <w:lang w:eastAsia="id-ID"/>
        </w:rPr>
        <w:t>sejarah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menjadi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alam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kedua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”. Ketika </w:t>
      </w:r>
      <w:proofErr w:type="spellStart"/>
      <w:r w:rsidRPr="00983A4F">
        <w:rPr>
          <w:rFonts w:eastAsia="Times New Roman"/>
          <w:szCs w:val="20"/>
          <w:lang w:eastAsia="id-ID"/>
        </w:rPr>
        <w:t>hidup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dipenuhi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ketidakpastian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maka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kebiasaan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menunda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berobat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dianggap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“normal”.</w:t>
      </w:r>
    </w:p>
    <w:p w14:paraId="0045E776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szCs w:val="20"/>
          <w:lang w:eastAsia="id-ID"/>
        </w:rPr>
        <w:t>Ranah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Kesehatan dan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Hierarki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Akses</w:t>
      </w:r>
      <w:proofErr w:type="spellEnd"/>
    </w:p>
    <w:p w14:paraId="14CD475A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di </w:t>
      </w:r>
      <w:proofErr w:type="spellStart"/>
      <w:r w:rsidRPr="00983A4F">
        <w:rPr>
          <w:rFonts w:eastAsia="Times New Roman"/>
          <w:szCs w:val="20"/>
          <w:lang w:eastAsia="id-ID"/>
        </w:rPr>
        <w:t>perkotaan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memperlihatkan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stratifikasi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jelas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223704FE" w14:textId="77777777" w:rsidR="009B3458" w:rsidRPr="00983A4F" w:rsidRDefault="009B3458" w:rsidP="009B3458">
      <w:pPr>
        <w:numPr>
          <w:ilvl w:val="0"/>
          <w:numId w:val="31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Rumah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sakit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swasta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premium: </w:t>
      </w:r>
      <w:proofErr w:type="spellStart"/>
      <w:r w:rsidRPr="00983A4F">
        <w:rPr>
          <w:rFonts w:eastAsia="Times New Roman"/>
          <w:szCs w:val="20"/>
          <w:lang w:eastAsia="id-ID"/>
        </w:rPr>
        <w:t>hanya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dimasuki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oleh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tinggi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33C73615" w14:textId="77777777" w:rsidR="009B3458" w:rsidRPr="00983A4F" w:rsidRDefault="009B3458" w:rsidP="009B3458">
      <w:pPr>
        <w:numPr>
          <w:ilvl w:val="0"/>
          <w:numId w:val="31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Klinik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swasta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transisi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digunakan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kelompok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pekerja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tetap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C729D51" w14:textId="77777777" w:rsidR="009B3458" w:rsidRPr="00983A4F" w:rsidRDefault="009B3458" w:rsidP="009B3458">
      <w:pPr>
        <w:numPr>
          <w:ilvl w:val="0"/>
          <w:numId w:val="31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lastRenderedPageBreak/>
        <w:t>Puskesmas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menengah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bawah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rentan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luas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namun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sering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merata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540A1686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Hasil </w:t>
      </w:r>
      <w:proofErr w:type="spellStart"/>
      <w:r w:rsidRPr="00983A4F">
        <w:rPr>
          <w:rFonts w:eastAsia="Times New Roman"/>
          <w:szCs w:val="20"/>
          <w:lang w:eastAsia="id-ID"/>
        </w:rPr>
        <w:t>telaah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menunjukkan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adanya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kompetisi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di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  <w:r w:rsidRPr="00983A4F">
        <w:rPr>
          <w:rFonts w:eastAsia="Times New Roman"/>
          <w:szCs w:val="20"/>
          <w:lang w:eastAsia="id-ID"/>
        </w:rPr>
        <w:br/>
      </w:r>
      <w:proofErr w:type="spellStart"/>
      <w:r w:rsidRPr="00983A4F">
        <w:rPr>
          <w:rFonts w:eastAsia="Times New Roman"/>
          <w:szCs w:val="20"/>
          <w:lang w:eastAsia="id-ID"/>
        </w:rPr>
        <w:t>Contoh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220EF450" w14:textId="77777777" w:rsidR="009B3458" w:rsidRPr="00983A4F" w:rsidRDefault="009B3458" w:rsidP="009B3458">
      <w:pPr>
        <w:numPr>
          <w:ilvl w:val="0"/>
          <w:numId w:val="32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pasien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tinggi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dapat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“</w:t>
      </w:r>
      <w:proofErr w:type="spellStart"/>
      <w:r w:rsidRPr="00983A4F">
        <w:rPr>
          <w:rFonts w:eastAsia="Times New Roman"/>
          <w:szCs w:val="20"/>
          <w:lang w:eastAsia="id-ID"/>
        </w:rPr>
        <w:t>memotong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antrean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”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kenalan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32BF6E8A" w14:textId="77777777" w:rsidR="009B3458" w:rsidRPr="00983A4F" w:rsidRDefault="009B3458" w:rsidP="009B3458">
      <w:pPr>
        <w:numPr>
          <w:ilvl w:val="0"/>
          <w:numId w:val="32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pasien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tinggi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lebih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mudah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diprioritaskan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karena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mampu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berkomunikasi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medikal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dengan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dokter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750076ED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Makna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teoretis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: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adalah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tempat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 </w:t>
      </w:r>
      <w:proofErr w:type="spellStart"/>
      <w:r w:rsidRPr="00983A4F">
        <w:rPr>
          <w:rFonts w:eastAsia="Times New Roman"/>
          <w:szCs w:val="20"/>
          <w:lang w:eastAsia="id-ID"/>
        </w:rPr>
        <w:t>dipertarungkan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. </w:t>
      </w:r>
      <w:proofErr w:type="spellStart"/>
      <w:r w:rsidRPr="00983A4F">
        <w:rPr>
          <w:rFonts w:eastAsia="Times New Roman"/>
          <w:szCs w:val="20"/>
          <w:lang w:eastAsia="id-ID"/>
        </w:rPr>
        <w:t>Struktur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menegaskan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bahwa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sekadar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tetapi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tentang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relasi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kuasa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antar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kelas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2DDF5749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szCs w:val="20"/>
          <w:lang w:eastAsia="id-ID"/>
        </w:rPr>
        <w:t>Reproduksi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dalam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Kesehatan</w:t>
      </w:r>
    </w:p>
    <w:p w14:paraId="6C2468A7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tidak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berdiri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sendiri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melainkan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direproduksi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terus-menerus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melalui</w:t>
      </w:r>
      <w:proofErr w:type="spellEnd"/>
      <w:r w:rsidRPr="00983A4F">
        <w:rPr>
          <w:rFonts w:eastAsia="Times New Roman"/>
          <w:szCs w:val="20"/>
          <w:lang w:eastAsia="id-ID"/>
        </w:rPr>
        <w:t>:</w:t>
      </w:r>
    </w:p>
    <w:p w14:paraId="4BCFC667" w14:textId="77777777" w:rsidR="009B3458" w:rsidRPr="00983A4F" w:rsidRDefault="009B3458" w:rsidP="009B3458">
      <w:pPr>
        <w:numPr>
          <w:ilvl w:val="0"/>
          <w:numId w:val="33"/>
        </w:numPr>
        <w:spacing w:after="0" w:line="360" w:lineRule="auto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sosial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memperoleh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informasi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terpercaya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7CFB414B" w14:textId="77777777" w:rsidR="009B3458" w:rsidRPr="00983A4F" w:rsidRDefault="009B3458" w:rsidP="009B3458">
      <w:pPr>
        <w:numPr>
          <w:ilvl w:val="0"/>
          <w:numId w:val="33"/>
        </w:numPr>
        <w:spacing w:after="0" w:line="360" w:lineRule="auto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budaya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literasi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pilihan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layanan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4E04DF51" w14:textId="77777777" w:rsidR="009B3458" w:rsidRPr="00983A4F" w:rsidRDefault="009B3458" w:rsidP="009B3458">
      <w:pPr>
        <w:numPr>
          <w:ilvl w:val="0"/>
          <w:numId w:val="33"/>
        </w:numPr>
        <w:spacing w:after="0" w:line="360" w:lineRule="auto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modal </w:t>
      </w:r>
      <w:proofErr w:type="spellStart"/>
      <w:r w:rsidRPr="00983A4F">
        <w:rPr>
          <w:rFonts w:eastAsia="Times New Roman"/>
          <w:szCs w:val="20"/>
          <w:lang w:eastAsia="id-ID"/>
        </w:rPr>
        <w:t>ekonomi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kemampuan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membayar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memilih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fasilitas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2BF8170B" w14:textId="77777777" w:rsidR="009B3458" w:rsidRPr="00983A4F" w:rsidRDefault="009B3458" w:rsidP="009B3458">
      <w:pPr>
        <w:numPr>
          <w:ilvl w:val="0"/>
          <w:numId w:val="33"/>
        </w:numPr>
        <w:spacing w:after="0" w:line="360" w:lineRule="auto"/>
        <w:rPr>
          <w:rFonts w:eastAsia="Times New Roman"/>
          <w:szCs w:val="20"/>
          <w:lang w:eastAsia="id-ID"/>
        </w:rPr>
      </w:pPr>
      <w:r w:rsidRPr="00983A4F">
        <w:rPr>
          <w:rFonts w:eastAsia="Times New Roman"/>
          <w:szCs w:val="20"/>
          <w:lang w:eastAsia="id-ID"/>
        </w:rPr>
        <w:t xml:space="preserve">habitus →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pola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tindakan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yang </w:t>
      </w:r>
      <w:proofErr w:type="spellStart"/>
      <w:r w:rsidRPr="00983A4F">
        <w:rPr>
          <w:rFonts w:eastAsia="Times New Roman"/>
          <w:szCs w:val="20"/>
          <w:lang w:eastAsia="id-ID"/>
        </w:rPr>
        <w:t>dianggap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wajar</w:t>
      </w:r>
      <w:proofErr w:type="spellEnd"/>
      <w:r w:rsidRPr="00983A4F">
        <w:rPr>
          <w:rFonts w:eastAsia="Times New Roman"/>
          <w:szCs w:val="20"/>
          <w:lang w:eastAsia="id-ID"/>
        </w:rPr>
        <w:t>,</w:t>
      </w:r>
    </w:p>
    <w:p w14:paraId="6798DB0F" w14:textId="77777777" w:rsidR="009B3458" w:rsidRPr="00983A4F" w:rsidRDefault="009B3458" w:rsidP="009B3458">
      <w:pPr>
        <w:numPr>
          <w:ilvl w:val="0"/>
          <w:numId w:val="33"/>
        </w:numPr>
        <w:spacing w:after="0" w:line="360" w:lineRule="auto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→ </w:t>
      </w:r>
      <w:proofErr w:type="spellStart"/>
      <w:r w:rsidRPr="00983A4F">
        <w:rPr>
          <w:rFonts w:eastAsia="Times New Roman"/>
          <w:szCs w:val="20"/>
          <w:lang w:eastAsia="id-ID"/>
        </w:rPr>
        <w:t>menentukan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struktur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akses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dan </w:t>
      </w:r>
      <w:proofErr w:type="spellStart"/>
      <w:r w:rsidRPr="00983A4F">
        <w:rPr>
          <w:rFonts w:eastAsia="Times New Roman"/>
          <w:szCs w:val="20"/>
          <w:lang w:eastAsia="id-ID"/>
        </w:rPr>
        <w:t>hierarki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65C0459B" w14:textId="1147C16F" w:rsidR="00983A4F" w:rsidRPr="00983A4F" w:rsidRDefault="009B3458" w:rsidP="00983A4F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proofErr w:type="spellStart"/>
      <w:r w:rsidRPr="00983A4F">
        <w:rPr>
          <w:rFonts w:eastAsia="Times New Roman"/>
          <w:szCs w:val="20"/>
          <w:lang w:eastAsia="id-ID"/>
        </w:rPr>
        <w:t>Secara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keseluruhan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ketimpangan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kesehatan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merupakan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hasil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interaksi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sistematis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modal–habitus–</w:t>
      </w:r>
      <w:proofErr w:type="spellStart"/>
      <w:r w:rsidRPr="00983A4F">
        <w:rPr>
          <w:rFonts w:eastAsia="Times New Roman"/>
          <w:szCs w:val="20"/>
          <w:lang w:eastAsia="id-ID"/>
        </w:rPr>
        <w:t>ranah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rFonts w:eastAsia="Times New Roman"/>
          <w:szCs w:val="20"/>
          <w:lang w:eastAsia="id-ID"/>
        </w:rPr>
        <w:t>bukan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akibat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preferensi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individu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semata</w:t>
      </w:r>
      <w:proofErr w:type="spellEnd"/>
      <w:r w:rsidRPr="00983A4F">
        <w:rPr>
          <w:rFonts w:eastAsia="Times New Roman"/>
          <w:szCs w:val="20"/>
          <w:lang w:eastAsia="id-ID"/>
        </w:rPr>
        <w:t>.</w:t>
      </w:r>
    </w:p>
    <w:p w14:paraId="44E59A92" w14:textId="77777777" w:rsidR="009B3458" w:rsidRPr="00983A4F" w:rsidRDefault="009B3458" w:rsidP="009B3458">
      <w:pPr>
        <w:pStyle w:val="ListParagraph"/>
        <w:numPr>
          <w:ilvl w:val="0"/>
          <w:numId w:val="35"/>
        </w:num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Perbandingan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b/>
          <w:bCs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szCs w:val="20"/>
          <w:lang w:eastAsia="id-ID"/>
        </w:rPr>
        <w:t>Penelitian</w:t>
      </w:r>
      <w:proofErr w:type="spellEnd"/>
    </w:p>
    <w:p w14:paraId="3767A264" w14:textId="77777777" w:rsidR="009B3458" w:rsidRPr="00983A4F" w:rsidRDefault="009B3458" w:rsidP="009B3458">
      <w:pPr>
        <w:spacing w:after="0"/>
        <w:jc w:val="center"/>
        <w:outlineLvl w:val="0"/>
        <w:rPr>
          <w:rFonts w:eastAsia="Times New Roman"/>
          <w:b/>
          <w:bCs/>
          <w:kern w:val="36"/>
          <w:szCs w:val="20"/>
          <w:lang w:eastAsia="id-ID"/>
        </w:rPr>
      </w:pPr>
      <w:r w:rsidRPr="00983A4F">
        <w:rPr>
          <w:rFonts w:eastAsia="Times New Roman"/>
          <w:b/>
          <w:bCs/>
          <w:kern w:val="36"/>
          <w:szCs w:val="20"/>
          <w:lang w:eastAsia="id-ID"/>
        </w:rPr>
        <w:t xml:space="preserve">Tabel 1. </w:t>
      </w: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Perbandingan</w:t>
      </w:r>
      <w:proofErr w:type="spellEnd"/>
      <w:r w:rsidRPr="00983A4F">
        <w:rPr>
          <w:rFonts w:eastAsia="Times New Roman"/>
          <w:b/>
          <w:bCs/>
          <w:kern w:val="36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Temuan</w:t>
      </w:r>
      <w:proofErr w:type="spellEnd"/>
      <w:r w:rsidRPr="00983A4F">
        <w:rPr>
          <w:rFonts w:eastAsia="Times New Roman"/>
          <w:b/>
          <w:bCs/>
          <w:kern w:val="36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Penelitian</w:t>
      </w:r>
      <w:proofErr w:type="spellEnd"/>
      <w:r w:rsidRPr="00983A4F">
        <w:rPr>
          <w:rFonts w:eastAsia="Times New Roman"/>
          <w:b/>
          <w:bCs/>
          <w:kern w:val="36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b/>
          <w:bCs/>
          <w:kern w:val="36"/>
          <w:szCs w:val="20"/>
          <w:lang w:eastAsia="id-ID"/>
        </w:rPr>
        <w:t>Terkait</w:t>
      </w:r>
      <w:proofErr w:type="spellEnd"/>
      <w:r w:rsidRPr="00983A4F">
        <w:rPr>
          <w:rFonts w:eastAsia="Times New Roman"/>
          <w:b/>
          <w:bCs/>
          <w:kern w:val="36"/>
          <w:szCs w:val="20"/>
          <w:lang w:eastAsia="id-ID"/>
        </w:rPr>
        <w:t xml:space="preserve"> Modal, Habitus, dan Akses Kesehatan (2015–2024)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91"/>
        <w:gridCol w:w="2657"/>
        <w:gridCol w:w="2506"/>
        <w:gridCol w:w="2016"/>
      </w:tblGrid>
      <w:tr w:rsidR="009B3458" w:rsidRPr="00983A4F" w14:paraId="554DA667" w14:textId="77777777" w:rsidTr="00056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CD9785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Komponen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Analisis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(Bourdieu)</w:t>
            </w:r>
          </w:p>
        </w:tc>
        <w:tc>
          <w:tcPr>
            <w:tcW w:w="0" w:type="auto"/>
            <w:vAlign w:val="center"/>
            <w:hideMark/>
          </w:tcPr>
          <w:p w14:paraId="733A7DD7" w14:textId="77777777" w:rsidR="009B3458" w:rsidRPr="00983A4F" w:rsidRDefault="009B3458" w:rsidP="00056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Temuan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FA879C" w14:textId="77777777" w:rsidR="009B3458" w:rsidRPr="00983A4F" w:rsidRDefault="009B3458" w:rsidP="00056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Dampak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pada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Akses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Kesehatan</w:t>
            </w:r>
          </w:p>
        </w:tc>
        <w:tc>
          <w:tcPr>
            <w:tcW w:w="0" w:type="auto"/>
            <w:vAlign w:val="center"/>
            <w:hideMark/>
          </w:tcPr>
          <w:p w14:paraId="173131BC" w14:textId="77777777" w:rsidR="009B3458" w:rsidRPr="00983A4F" w:rsidRDefault="009B3458" w:rsidP="00056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Sumber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(10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tahun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terakhir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>)</w:t>
            </w:r>
          </w:p>
        </w:tc>
      </w:tr>
      <w:tr w:rsidR="009B3458" w:rsidRPr="00983A4F" w14:paraId="0BC61944" w14:textId="77777777" w:rsidTr="00056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F5A499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Modal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Sosial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Tinggi</w:t>
            </w:r>
          </w:p>
        </w:tc>
        <w:tc>
          <w:tcPr>
            <w:tcW w:w="0" w:type="auto"/>
            <w:hideMark/>
          </w:tcPr>
          <w:p w14:paraId="50B839A1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Jaringan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kuat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mempermudah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akses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formal</w:t>
            </w:r>
          </w:p>
        </w:tc>
        <w:tc>
          <w:tcPr>
            <w:tcW w:w="0" w:type="auto"/>
            <w:hideMark/>
          </w:tcPr>
          <w:p w14:paraId="4687AA3B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Informasi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cepat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rekomendasi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prioritas</w:t>
            </w:r>
            <w:proofErr w:type="spellEnd"/>
          </w:p>
        </w:tc>
        <w:tc>
          <w:tcPr>
            <w:tcW w:w="0" w:type="auto"/>
            <w:hideMark/>
          </w:tcPr>
          <w:p w14:paraId="5D9A83FB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Zhao, 2022</w:t>
            </w:r>
          </w:p>
        </w:tc>
      </w:tr>
      <w:tr w:rsidR="009B3458" w:rsidRPr="00983A4F" w14:paraId="30028C87" w14:textId="77777777" w:rsidTr="0005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C3FA74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Modal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Sosial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Rendah</w:t>
            </w:r>
            <w:proofErr w:type="spellEnd"/>
          </w:p>
        </w:tc>
        <w:tc>
          <w:tcPr>
            <w:tcW w:w="0" w:type="auto"/>
            <w:hideMark/>
          </w:tcPr>
          <w:p w14:paraId="7E6C092E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 xml:space="preserve">Minim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jaringan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percaya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pada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pengobatan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informal</w:t>
            </w:r>
          </w:p>
        </w:tc>
        <w:tc>
          <w:tcPr>
            <w:tcW w:w="0" w:type="auto"/>
            <w:hideMark/>
          </w:tcPr>
          <w:p w14:paraId="11A93023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Terlambat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berobat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bingung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memilih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fasilitas</w:t>
            </w:r>
            <w:proofErr w:type="spellEnd"/>
          </w:p>
        </w:tc>
        <w:tc>
          <w:tcPr>
            <w:tcW w:w="0" w:type="auto"/>
            <w:hideMark/>
          </w:tcPr>
          <w:p w14:paraId="22A85CF3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Sari &amp; Fitria, 2021</w:t>
            </w:r>
          </w:p>
        </w:tc>
      </w:tr>
      <w:tr w:rsidR="009B3458" w:rsidRPr="00983A4F" w14:paraId="45D4E438" w14:textId="77777777" w:rsidTr="00056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5DDFF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Modal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Budaya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Tinggi</w:t>
            </w:r>
          </w:p>
        </w:tc>
        <w:tc>
          <w:tcPr>
            <w:tcW w:w="0" w:type="auto"/>
            <w:hideMark/>
          </w:tcPr>
          <w:p w14:paraId="63B2805D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Literasi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kesehatan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baik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kritis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terhadap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informasi</w:t>
            </w:r>
            <w:proofErr w:type="spellEnd"/>
          </w:p>
        </w:tc>
        <w:tc>
          <w:tcPr>
            <w:tcW w:w="0" w:type="auto"/>
            <w:hideMark/>
          </w:tcPr>
          <w:p w14:paraId="51F34BDF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Memilih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berkualitas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pencegahan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optimal</w:t>
            </w:r>
          </w:p>
        </w:tc>
        <w:tc>
          <w:tcPr>
            <w:tcW w:w="0" w:type="auto"/>
            <w:hideMark/>
          </w:tcPr>
          <w:p w14:paraId="7DB28CEA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Wulandari et al., 2023</w:t>
            </w:r>
          </w:p>
        </w:tc>
      </w:tr>
      <w:tr w:rsidR="009B3458" w:rsidRPr="00983A4F" w14:paraId="6914B297" w14:textId="77777777" w:rsidTr="0005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411E3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Modal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Budaya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Rendah</w:t>
            </w:r>
            <w:proofErr w:type="spellEnd"/>
          </w:p>
        </w:tc>
        <w:tc>
          <w:tcPr>
            <w:tcW w:w="0" w:type="auto"/>
            <w:hideMark/>
          </w:tcPr>
          <w:p w14:paraId="356EE744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Rentan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hoaks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misinterpretasi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medis</w:t>
            </w:r>
            <w:proofErr w:type="spellEnd"/>
          </w:p>
        </w:tc>
        <w:tc>
          <w:tcPr>
            <w:tcW w:w="0" w:type="auto"/>
            <w:hideMark/>
          </w:tcPr>
          <w:p w14:paraId="7AAADF36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 xml:space="preserve">Salah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memilih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risiko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komplikasi</w:t>
            </w:r>
            <w:proofErr w:type="spellEnd"/>
          </w:p>
        </w:tc>
        <w:tc>
          <w:tcPr>
            <w:tcW w:w="0" w:type="auto"/>
            <w:hideMark/>
          </w:tcPr>
          <w:p w14:paraId="08420DB6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Wulandari et al., 2023</w:t>
            </w:r>
          </w:p>
        </w:tc>
      </w:tr>
      <w:tr w:rsidR="009B3458" w:rsidRPr="00983A4F" w14:paraId="53FCEBB9" w14:textId="77777777" w:rsidTr="00056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442E4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Habitus Kelas Bawah</w:t>
            </w:r>
          </w:p>
        </w:tc>
        <w:tc>
          <w:tcPr>
            <w:tcW w:w="0" w:type="auto"/>
            <w:hideMark/>
          </w:tcPr>
          <w:p w14:paraId="5656FE37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Orientasi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survival,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kesehatan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bukan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prioritas</w:t>
            </w:r>
            <w:proofErr w:type="spellEnd"/>
          </w:p>
        </w:tc>
        <w:tc>
          <w:tcPr>
            <w:tcW w:w="0" w:type="auto"/>
            <w:hideMark/>
          </w:tcPr>
          <w:p w14:paraId="62637891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Tidak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cek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rutin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menunda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pengobatan</w:t>
            </w:r>
            <w:proofErr w:type="spellEnd"/>
          </w:p>
        </w:tc>
        <w:tc>
          <w:tcPr>
            <w:tcW w:w="0" w:type="auto"/>
            <w:hideMark/>
          </w:tcPr>
          <w:p w14:paraId="1D1544CB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Mooney, 2015</w:t>
            </w:r>
          </w:p>
        </w:tc>
      </w:tr>
      <w:tr w:rsidR="009B3458" w:rsidRPr="00983A4F" w14:paraId="4DE9B320" w14:textId="77777777" w:rsidTr="0005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BF917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Habitus Kelas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Menengah</w:t>
            </w:r>
            <w:proofErr w:type="spellEnd"/>
          </w:p>
        </w:tc>
        <w:tc>
          <w:tcPr>
            <w:tcW w:w="0" w:type="auto"/>
            <w:hideMark/>
          </w:tcPr>
          <w:p w14:paraId="7FBFBBDF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 xml:space="preserve">Kesehatan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sebagai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investasi</w:t>
            </w:r>
            <w:proofErr w:type="spellEnd"/>
          </w:p>
        </w:tc>
        <w:tc>
          <w:tcPr>
            <w:tcW w:w="0" w:type="auto"/>
            <w:hideMark/>
          </w:tcPr>
          <w:p w14:paraId="79975604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Preventif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rajin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kontrol</w:t>
            </w:r>
            <w:proofErr w:type="spellEnd"/>
          </w:p>
        </w:tc>
        <w:tc>
          <w:tcPr>
            <w:tcW w:w="0" w:type="auto"/>
            <w:hideMark/>
          </w:tcPr>
          <w:p w14:paraId="3DCBC8F8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r w:rsidRPr="00983A4F">
              <w:rPr>
                <w:rFonts w:eastAsia="Times New Roman"/>
                <w:szCs w:val="20"/>
                <w:lang w:eastAsia="id-ID"/>
              </w:rPr>
              <w:t>Mooney, 2015 (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analisis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>)</w:t>
            </w:r>
          </w:p>
        </w:tc>
      </w:tr>
      <w:tr w:rsidR="009B3458" w:rsidRPr="00983A4F" w14:paraId="4ABEBC49" w14:textId="77777777" w:rsidTr="00056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9B515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Ranah Kesehatan Premium</w:t>
            </w:r>
          </w:p>
        </w:tc>
        <w:tc>
          <w:tcPr>
            <w:tcW w:w="0" w:type="auto"/>
            <w:hideMark/>
          </w:tcPr>
          <w:p w14:paraId="52F4B407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Akses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terbatas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bagi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yang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bermodal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tinggi</w:t>
            </w:r>
            <w:proofErr w:type="spellEnd"/>
          </w:p>
        </w:tc>
        <w:tc>
          <w:tcPr>
            <w:tcW w:w="0" w:type="auto"/>
            <w:hideMark/>
          </w:tcPr>
          <w:p w14:paraId="10AB62BD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cepat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terpercaya</w:t>
            </w:r>
            <w:proofErr w:type="spellEnd"/>
          </w:p>
        </w:tc>
        <w:tc>
          <w:tcPr>
            <w:tcW w:w="0" w:type="auto"/>
            <w:hideMark/>
          </w:tcPr>
          <w:p w14:paraId="19F7993F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Studi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urban 2018–2023</w:t>
            </w:r>
          </w:p>
        </w:tc>
      </w:tr>
      <w:tr w:rsidR="009B3458" w:rsidRPr="00983A4F" w14:paraId="41D80D74" w14:textId="77777777" w:rsidTr="0005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A116B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Ranah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Puskesmas</w:t>
            </w:r>
            <w:proofErr w:type="spellEnd"/>
          </w:p>
        </w:tc>
        <w:tc>
          <w:tcPr>
            <w:tcW w:w="0" w:type="auto"/>
            <w:hideMark/>
          </w:tcPr>
          <w:p w14:paraId="3E8AE1A1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Akses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luas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namun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crowded</w:t>
            </w:r>
          </w:p>
        </w:tc>
        <w:tc>
          <w:tcPr>
            <w:tcW w:w="0" w:type="auto"/>
            <w:hideMark/>
          </w:tcPr>
          <w:p w14:paraId="70FEBA52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Menunggu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lama,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kualitas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bervariasi</w:t>
            </w:r>
            <w:proofErr w:type="spellEnd"/>
          </w:p>
        </w:tc>
        <w:tc>
          <w:tcPr>
            <w:tcW w:w="0" w:type="auto"/>
            <w:hideMark/>
          </w:tcPr>
          <w:p w14:paraId="773EDE03" w14:textId="77777777" w:rsidR="009B3458" w:rsidRPr="00983A4F" w:rsidRDefault="009B3458" w:rsidP="0005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Penelitian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pelayanan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dasar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2019–2024</w:t>
            </w:r>
          </w:p>
        </w:tc>
      </w:tr>
      <w:tr w:rsidR="009B3458" w:rsidRPr="00983A4F" w14:paraId="187BFF98" w14:textId="77777777" w:rsidTr="00056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8F86E" w14:textId="77777777" w:rsidR="009B3458" w:rsidRPr="00983A4F" w:rsidRDefault="009B3458" w:rsidP="00056E68">
            <w:pPr>
              <w:jc w:val="center"/>
              <w:rPr>
                <w:rFonts w:eastAsia="Times New Roman"/>
                <w:b w:val="0"/>
                <w:bCs w:val="0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lastRenderedPageBreak/>
              <w:t>Reproduksi</w:t>
            </w:r>
            <w:proofErr w:type="spellEnd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b w:val="0"/>
                <w:bCs w:val="0"/>
                <w:szCs w:val="20"/>
                <w:lang w:eastAsia="id-ID"/>
              </w:rPr>
              <w:t>Sosial</w:t>
            </w:r>
            <w:proofErr w:type="spellEnd"/>
          </w:p>
        </w:tc>
        <w:tc>
          <w:tcPr>
            <w:tcW w:w="0" w:type="auto"/>
            <w:hideMark/>
          </w:tcPr>
          <w:p w14:paraId="59AF4CE8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Ketimpangan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diwariskan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antar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generasi</w:t>
            </w:r>
            <w:proofErr w:type="spellEnd"/>
          </w:p>
        </w:tc>
        <w:tc>
          <w:tcPr>
            <w:tcW w:w="0" w:type="auto"/>
            <w:hideMark/>
          </w:tcPr>
          <w:p w14:paraId="35263BEB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Akses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tidak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setara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menjadi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“normal”</w:t>
            </w:r>
          </w:p>
        </w:tc>
        <w:tc>
          <w:tcPr>
            <w:tcW w:w="0" w:type="auto"/>
            <w:hideMark/>
          </w:tcPr>
          <w:p w14:paraId="16D585D5" w14:textId="77777777" w:rsidR="009B3458" w:rsidRPr="00983A4F" w:rsidRDefault="009B3458" w:rsidP="00056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0"/>
                <w:lang w:eastAsia="id-ID"/>
              </w:rPr>
            </w:pP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Analisis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</w:t>
            </w:r>
            <w:proofErr w:type="spellStart"/>
            <w:r w:rsidRPr="00983A4F">
              <w:rPr>
                <w:rFonts w:eastAsia="Times New Roman"/>
                <w:szCs w:val="20"/>
                <w:lang w:eastAsia="id-ID"/>
              </w:rPr>
              <w:t>literatur</w:t>
            </w:r>
            <w:proofErr w:type="spellEnd"/>
            <w:r w:rsidRPr="00983A4F">
              <w:rPr>
                <w:rFonts w:eastAsia="Times New Roman"/>
                <w:szCs w:val="20"/>
                <w:lang w:eastAsia="id-ID"/>
              </w:rPr>
              <w:t xml:space="preserve"> 2015–2024</w:t>
            </w:r>
          </w:p>
        </w:tc>
      </w:tr>
    </w:tbl>
    <w:p w14:paraId="68091B12" w14:textId="77777777" w:rsidR="009B3458" w:rsidRPr="00983A4F" w:rsidRDefault="009B3458" w:rsidP="009B3458">
      <w:pPr>
        <w:spacing w:after="0"/>
        <w:rPr>
          <w:rFonts w:eastAsia="Times New Roman"/>
          <w:szCs w:val="20"/>
          <w:lang w:eastAsia="id-ID"/>
        </w:rPr>
      </w:pPr>
    </w:p>
    <w:p w14:paraId="40606BDD" w14:textId="77777777" w:rsidR="009B3458" w:rsidRPr="00983A4F" w:rsidRDefault="009B3458" w:rsidP="009B3458">
      <w:pPr>
        <w:spacing w:after="0" w:line="360" w:lineRule="auto"/>
        <w:ind w:firstLine="720"/>
        <w:rPr>
          <w:rFonts w:eastAsia="Times New Roman"/>
          <w:szCs w:val="20"/>
          <w:lang w:eastAsia="id-ID"/>
        </w:rPr>
      </w:pPr>
      <w:r w:rsidRPr="00983A4F">
        <w:rPr>
          <w:szCs w:val="20"/>
        </w:rPr>
        <w:t xml:space="preserve">Kajian </w:t>
      </w:r>
      <w:proofErr w:type="spellStart"/>
      <w:r w:rsidRPr="00983A4F">
        <w:rPr>
          <w:szCs w:val="20"/>
        </w:rPr>
        <w:t>terhadap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penelitian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dari</w:t>
      </w:r>
      <w:proofErr w:type="spellEnd"/>
      <w:r w:rsidRPr="00983A4F">
        <w:rPr>
          <w:szCs w:val="20"/>
        </w:rPr>
        <w:t xml:space="preserve"> 2015 </w:t>
      </w:r>
      <w:proofErr w:type="spellStart"/>
      <w:r w:rsidRPr="00983A4F">
        <w:rPr>
          <w:szCs w:val="20"/>
        </w:rPr>
        <w:t>hingga</w:t>
      </w:r>
      <w:proofErr w:type="spellEnd"/>
      <w:r w:rsidRPr="00983A4F">
        <w:rPr>
          <w:szCs w:val="20"/>
        </w:rPr>
        <w:t xml:space="preserve"> 2024 </w:t>
      </w:r>
      <w:proofErr w:type="spellStart"/>
      <w:r w:rsidRPr="00983A4F">
        <w:rPr>
          <w:szCs w:val="20"/>
        </w:rPr>
        <w:t>menunjukkan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perkembangan</w:t>
      </w:r>
      <w:proofErr w:type="spellEnd"/>
      <w:r w:rsidRPr="00983A4F">
        <w:rPr>
          <w:szCs w:val="20"/>
        </w:rPr>
        <w:t xml:space="preserve"> yang </w:t>
      </w:r>
      <w:proofErr w:type="spellStart"/>
      <w:r w:rsidRPr="00983A4F">
        <w:rPr>
          <w:szCs w:val="20"/>
        </w:rPr>
        <w:t>signifikan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dalam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memahami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ketimpangan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akses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layanan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menggunakan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kerangka</w:t>
      </w:r>
      <w:proofErr w:type="spellEnd"/>
      <w:r w:rsidRPr="00983A4F">
        <w:rPr>
          <w:szCs w:val="20"/>
        </w:rPr>
        <w:t xml:space="preserve"> modal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, modal </w:t>
      </w:r>
      <w:proofErr w:type="spellStart"/>
      <w:r w:rsidRPr="00983A4F">
        <w:rPr>
          <w:szCs w:val="20"/>
        </w:rPr>
        <w:t>budaya</w:t>
      </w:r>
      <w:proofErr w:type="spellEnd"/>
      <w:r w:rsidRPr="00983A4F">
        <w:rPr>
          <w:szCs w:val="20"/>
        </w:rPr>
        <w:t xml:space="preserve">, dan habitus (Bourdieu). </w:t>
      </w:r>
      <w:proofErr w:type="spellStart"/>
      <w:r w:rsidRPr="00983A4F">
        <w:rPr>
          <w:szCs w:val="20"/>
        </w:rPr>
        <w:t>Penelitian</w:t>
      </w:r>
      <w:proofErr w:type="spellEnd"/>
      <w:r w:rsidRPr="00983A4F">
        <w:rPr>
          <w:szCs w:val="20"/>
        </w:rPr>
        <w:t xml:space="preserve"> pada </w:t>
      </w:r>
      <w:proofErr w:type="spellStart"/>
      <w:r w:rsidRPr="00983A4F">
        <w:rPr>
          <w:szCs w:val="20"/>
        </w:rPr>
        <w:t>periode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ini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memperlihatkan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pergeseran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fokus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dari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faktor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ekonomi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menuju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pendekatan</w:t>
      </w:r>
      <w:proofErr w:type="spellEnd"/>
      <w:r w:rsidRPr="00983A4F">
        <w:rPr>
          <w:szCs w:val="20"/>
        </w:rPr>
        <w:t xml:space="preserve"> multidimensional yang </w:t>
      </w:r>
      <w:proofErr w:type="spellStart"/>
      <w:r w:rsidRPr="00983A4F">
        <w:rPr>
          <w:szCs w:val="20"/>
        </w:rPr>
        <w:t>mempertimbangkan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struktur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 dan </w:t>
      </w:r>
      <w:proofErr w:type="spellStart"/>
      <w:r w:rsidRPr="00983A4F">
        <w:rPr>
          <w:szCs w:val="20"/>
        </w:rPr>
        <w:t>praktik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keseharian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masyarakat</w:t>
      </w:r>
      <w:proofErr w:type="spellEnd"/>
      <w:r w:rsidRPr="00983A4F">
        <w:rPr>
          <w:szCs w:val="20"/>
        </w:rPr>
        <w:t>.</w:t>
      </w:r>
      <w:r w:rsidRPr="00983A4F">
        <w:rPr>
          <w:rFonts w:eastAsia="Times New Roman"/>
          <w:szCs w:val="20"/>
          <w:lang w:eastAsia="id-ID"/>
        </w:rPr>
        <w:t xml:space="preserve"> Oleh </w:t>
      </w:r>
      <w:proofErr w:type="spellStart"/>
      <w:r w:rsidRPr="00983A4F">
        <w:rPr>
          <w:rFonts w:eastAsia="Times New Roman"/>
          <w:szCs w:val="20"/>
          <w:lang w:eastAsia="id-ID"/>
        </w:rPr>
        <w:t>karena</w:t>
      </w:r>
      <w:proofErr w:type="spellEnd"/>
      <w:r w:rsidRPr="00983A4F">
        <w:rPr>
          <w:rFonts w:eastAsia="Times New Roman"/>
          <w:szCs w:val="20"/>
          <w:lang w:eastAsia="id-ID"/>
        </w:rPr>
        <w:t xml:space="preserve"> </w:t>
      </w:r>
      <w:proofErr w:type="spellStart"/>
      <w:r w:rsidRPr="00983A4F">
        <w:rPr>
          <w:rFonts w:eastAsia="Times New Roman"/>
          <w:szCs w:val="20"/>
          <w:lang w:eastAsia="id-ID"/>
        </w:rPr>
        <w:t>itu</w:t>
      </w:r>
      <w:proofErr w:type="spellEnd"/>
      <w:r w:rsidRPr="00983A4F">
        <w:rPr>
          <w:rFonts w:eastAsia="Times New Roman"/>
          <w:szCs w:val="20"/>
          <w:lang w:eastAsia="id-ID"/>
        </w:rPr>
        <w:t xml:space="preserve">, </w:t>
      </w:r>
      <w:proofErr w:type="spellStart"/>
      <w:r w:rsidRPr="00983A4F">
        <w:rPr>
          <w:szCs w:val="20"/>
        </w:rPr>
        <w:t>upaya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mengurangi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ketimpangan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harus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memperhatikan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faktor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kultural</w:t>
      </w:r>
      <w:proofErr w:type="spellEnd"/>
      <w:r w:rsidRPr="00983A4F">
        <w:rPr>
          <w:szCs w:val="20"/>
        </w:rPr>
        <w:t xml:space="preserve"> dan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bukan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hanya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aspek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ekonomi</w:t>
      </w:r>
      <w:proofErr w:type="spellEnd"/>
      <w:r w:rsidRPr="00983A4F">
        <w:rPr>
          <w:szCs w:val="20"/>
        </w:rPr>
        <w:t xml:space="preserve"> dan </w:t>
      </w:r>
      <w:proofErr w:type="spellStart"/>
      <w:r w:rsidRPr="00983A4F">
        <w:rPr>
          <w:szCs w:val="20"/>
        </w:rPr>
        <w:t>fisik</w:t>
      </w:r>
      <w:proofErr w:type="spellEnd"/>
      <w:r w:rsidRPr="00983A4F">
        <w:rPr>
          <w:szCs w:val="20"/>
        </w:rPr>
        <w:t xml:space="preserve">. </w:t>
      </w:r>
      <w:proofErr w:type="spellStart"/>
      <w:r w:rsidRPr="00983A4F">
        <w:rPr>
          <w:szCs w:val="20"/>
        </w:rPr>
        <w:t>Kebijakan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perlu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difokuskan</w:t>
      </w:r>
      <w:proofErr w:type="spellEnd"/>
      <w:r w:rsidRPr="00983A4F">
        <w:rPr>
          <w:szCs w:val="20"/>
        </w:rPr>
        <w:t xml:space="preserve"> pada </w:t>
      </w:r>
      <w:proofErr w:type="spellStart"/>
      <w:r w:rsidRPr="00983A4F">
        <w:rPr>
          <w:szCs w:val="20"/>
        </w:rPr>
        <w:t>penguatan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literasi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pemberdayaan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komunitas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serta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transformasi</w:t>
      </w:r>
      <w:proofErr w:type="spellEnd"/>
      <w:r w:rsidRPr="00983A4F">
        <w:rPr>
          <w:szCs w:val="20"/>
        </w:rPr>
        <w:t xml:space="preserve"> habitus </w:t>
      </w:r>
      <w:proofErr w:type="spellStart"/>
      <w:r w:rsidRPr="00983A4F">
        <w:rPr>
          <w:szCs w:val="20"/>
        </w:rPr>
        <w:t>promotif</w:t>
      </w:r>
      <w:proofErr w:type="spellEnd"/>
      <w:r w:rsidRPr="00983A4F">
        <w:rPr>
          <w:szCs w:val="20"/>
        </w:rPr>
        <w:t xml:space="preserve"> di </w:t>
      </w:r>
      <w:proofErr w:type="spellStart"/>
      <w:r w:rsidRPr="00983A4F">
        <w:rPr>
          <w:szCs w:val="20"/>
        </w:rPr>
        <w:t>masyarakat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perkotaan</w:t>
      </w:r>
      <w:proofErr w:type="spellEnd"/>
      <w:r w:rsidRPr="00983A4F">
        <w:rPr>
          <w:szCs w:val="20"/>
        </w:rPr>
        <w:t>.</w:t>
      </w:r>
    </w:p>
    <w:p w14:paraId="4E16CD75" w14:textId="77777777" w:rsidR="009B3458" w:rsidRPr="00983A4F" w:rsidRDefault="009B3458" w:rsidP="009B3458">
      <w:pPr>
        <w:spacing w:after="0"/>
        <w:rPr>
          <w:rFonts w:eastAsia="Times New Roman"/>
          <w:szCs w:val="20"/>
          <w:lang w:eastAsia="id-ID"/>
        </w:rPr>
      </w:pPr>
    </w:p>
    <w:p w14:paraId="5BD4E8FA" w14:textId="03503E42" w:rsidR="009B3458" w:rsidRPr="00983A4F" w:rsidRDefault="00983A4F" w:rsidP="009B3458">
      <w:pPr>
        <w:spacing w:after="0" w:line="360" w:lineRule="auto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>Kesimpulan</w:t>
      </w:r>
    </w:p>
    <w:p w14:paraId="333B43A1" w14:textId="263477DB" w:rsidR="009B3458" w:rsidRPr="00983A4F" w:rsidRDefault="009B3458" w:rsidP="00983A4F">
      <w:pPr>
        <w:spacing w:after="0" w:line="360" w:lineRule="auto"/>
        <w:ind w:firstLine="720"/>
        <w:rPr>
          <w:szCs w:val="20"/>
        </w:rPr>
      </w:pPr>
      <w:proofErr w:type="spellStart"/>
      <w:r w:rsidRPr="00983A4F">
        <w:rPr>
          <w:szCs w:val="20"/>
        </w:rPr>
        <w:t>Penelitian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ini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menegaskan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bahwa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ketimpangan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akses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di wilayah urban </w:t>
      </w:r>
      <w:proofErr w:type="spellStart"/>
      <w:r w:rsidRPr="00983A4F">
        <w:rPr>
          <w:szCs w:val="20"/>
        </w:rPr>
        <w:t>bukanlah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fenomena</w:t>
      </w:r>
      <w:proofErr w:type="spellEnd"/>
      <w:r w:rsidRPr="00983A4F">
        <w:rPr>
          <w:szCs w:val="20"/>
        </w:rPr>
        <w:t xml:space="preserve"> </w:t>
      </w:r>
      <w:r w:rsidRPr="00983A4F">
        <w:rPr>
          <w:rFonts w:eastAsia="Times New Roman"/>
          <w:szCs w:val="20"/>
          <w:lang w:eastAsia="id-ID"/>
        </w:rPr>
        <w:t>yang</w:t>
      </w:r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berdiri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sendiri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melainkan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hasil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dari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interaksi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kompleks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antara</w:t>
      </w:r>
      <w:proofErr w:type="spellEnd"/>
      <w:r w:rsidRPr="00983A4F">
        <w:rPr>
          <w:szCs w:val="20"/>
        </w:rPr>
        <w:t xml:space="preserve"> modal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, modal </w:t>
      </w:r>
      <w:proofErr w:type="spellStart"/>
      <w:r w:rsidRPr="00983A4F">
        <w:rPr>
          <w:szCs w:val="20"/>
        </w:rPr>
        <w:t>budaya</w:t>
      </w:r>
      <w:proofErr w:type="spellEnd"/>
      <w:r w:rsidRPr="00983A4F">
        <w:rPr>
          <w:szCs w:val="20"/>
        </w:rPr>
        <w:t xml:space="preserve">, habitus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, dan </w:t>
      </w:r>
      <w:proofErr w:type="spellStart"/>
      <w:r w:rsidRPr="00983A4F">
        <w:rPr>
          <w:szCs w:val="20"/>
        </w:rPr>
        <w:t>struktur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ranah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>.</w:t>
      </w:r>
      <w:r w:rsidR="00983A4F">
        <w:rPr>
          <w:szCs w:val="20"/>
        </w:rPr>
        <w:t xml:space="preserve"> 1. </w:t>
      </w:r>
      <w:r w:rsidRPr="00983A4F">
        <w:rPr>
          <w:rStyle w:val="Strong"/>
          <w:rFonts w:eastAsiaTheme="majorEastAsia"/>
          <w:szCs w:val="20"/>
        </w:rPr>
        <w:t xml:space="preserve">Modal </w:t>
      </w:r>
      <w:proofErr w:type="spellStart"/>
      <w:r w:rsidRPr="00983A4F">
        <w:rPr>
          <w:rStyle w:val="Strong"/>
          <w:rFonts w:eastAsiaTheme="majorEastAsia"/>
          <w:szCs w:val="20"/>
        </w:rPr>
        <w:t>sosial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terbukti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menjadi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penentu</w:t>
      </w:r>
      <w:proofErr w:type="spellEnd"/>
      <w:r w:rsidRPr="00983A4F">
        <w:rPr>
          <w:szCs w:val="20"/>
        </w:rPr>
        <w:t xml:space="preserve"> penting akses kesehatan. Individu dengan jaringan relasi kuat lebih mudah memperoleh informasi, rekomendasi fasilitas, hingga bantuan dalam proses administrasi pelayanan kesehatan. Sebaliknya, modal sosial rendah menghasilkan keterlambatan pengobatan dan </w:t>
      </w:r>
      <w:proofErr w:type="spellStart"/>
      <w:r w:rsidRPr="00983A4F">
        <w:rPr>
          <w:szCs w:val="20"/>
        </w:rPr>
        <w:t>ketergantungan</w:t>
      </w:r>
      <w:proofErr w:type="spellEnd"/>
      <w:r w:rsidRPr="00983A4F">
        <w:rPr>
          <w:szCs w:val="20"/>
        </w:rPr>
        <w:t xml:space="preserve"> pada </w:t>
      </w:r>
      <w:proofErr w:type="spellStart"/>
      <w:r w:rsidRPr="00983A4F">
        <w:rPr>
          <w:szCs w:val="20"/>
        </w:rPr>
        <w:t>praktik</w:t>
      </w:r>
      <w:proofErr w:type="spellEnd"/>
      <w:r w:rsidRPr="00983A4F">
        <w:rPr>
          <w:szCs w:val="20"/>
        </w:rPr>
        <w:t xml:space="preserve"> informal.</w:t>
      </w:r>
      <w:r w:rsidR="00983A4F">
        <w:rPr>
          <w:szCs w:val="20"/>
        </w:rPr>
        <w:t xml:space="preserve"> 2. </w:t>
      </w:r>
      <w:r w:rsidRPr="00983A4F">
        <w:rPr>
          <w:rStyle w:val="Strong"/>
          <w:rFonts w:eastAsiaTheme="majorEastAsia"/>
          <w:szCs w:val="20"/>
        </w:rPr>
        <w:t xml:space="preserve">Modal </w:t>
      </w:r>
      <w:proofErr w:type="spellStart"/>
      <w:r w:rsidRPr="00983A4F">
        <w:rPr>
          <w:rStyle w:val="Strong"/>
          <w:rFonts w:eastAsiaTheme="majorEastAsia"/>
          <w:szCs w:val="20"/>
        </w:rPr>
        <w:t>budaya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berkontribusi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signifikan</w:t>
      </w:r>
      <w:proofErr w:type="spellEnd"/>
      <w:r w:rsidRPr="00983A4F">
        <w:rPr>
          <w:szCs w:val="20"/>
        </w:rPr>
        <w:t xml:space="preserve"> pada literasi kesehatan. Kelompok kelas menengah memiliki pemahaman lebih baik tentang risiko penyakit dan cara membaca informasi medis, sedangkan kelas bawah lebih rentan terhadap misinformasi dan tidak </w:t>
      </w:r>
      <w:proofErr w:type="spellStart"/>
      <w:r w:rsidRPr="00983A4F">
        <w:rPr>
          <w:szCs w:val="20"/>
        </w:rPr>
        <w:t>mampu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menavigasi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sistem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>.</w:t>
      </w:r>
      <w:r w:rsidR="00983A4F">
        <w:rPr>
          <w:szCs w:val="20"/>
        </w:rPr>
        <w:t xml:space="preserve"> 3. </w:t>
      </w:r>
      <w:r w:rsidRPr="00983A4F">
        <w:rPr>
          <w:rStyle w:val="Strong"/>
          <w:rFonts w:eastAsiaTheme="majorEastAsia"/>
          <w:szCs w:val="20"/>
        </w:rPr>
        <w:t xml:space="preserve">Habitus </w:t>
      </w:r>
      <w:proofErr w:type="spellStart"/>
      <w:r w:rsidRPr="00983A4F">
        <w:rPr>
          <w:rStyle w:val="Strong"/>
          <w:rFonts w:eastAsiaTheme="majorEastAsia"/>
          <w:szCs w:val="20"/>
        </w:rPr>
        <w:t>kesehatan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masyarakat</w:t>
      </w:r>
      <w:proofErr w:type="spellEnd"/>
      <w:r w:rsidRPr="00983A4F">
        <w:rPr>
          <w:szCs w:val="20"/>
        </w:rPr>
        <w:t xml:space="preserve"> miskin </w:t>
      </w:r>
      <w:proofErr w:type="spellStart"/>
      <w:r w:rsidRPr="00983A4F">
        <w:rPr>
          <w:szCs w:val="20"/>
        </w:rPr>
        <w:t>kota</w:t>
      </w:r>
      <w:proofErr w:type="spellEnd"/>
      <w:r w:rsidRPr="00983A4F">
        <w:rPr>
          <w:szCs w:val="20"/>
        </w:rPr>
        <w:t xml:space="preserve"> terbentuk dari kondisi hidup yang penuh tekanan, ketidakstabilan ekonomi, dan pola survival. Habitus ini menyebabkan rendahnya prioritas terhadap kesehatan preventif dan </w:t>
      </w:r>
      <w:proofErr w:type="spellStart"/>
      <w:r w:rsidRPr="00983A4F">
        <w:rPr>
          <w:szCs w:val="20"/>
        </w:rPr>
        <w:t>pemanfaatan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layanan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formal.</w:t>
      </w:r>
      <w:r w:rsidR="00983A4F">
        <w:rPr>
          <w:szCs w:val="20"/>
        </w:rPr>
        <w:t xml:space="preserve"> 4. </w:t>
      </w:r>
      <w:proofErr w:type="spellStart"/>
      <w:r w:rsidRPr="00983A4F">
        <w:rPr>
          <w:rStyle w:val="Strong"/>
          <w:rFonts w:eastAsiaTheme="majorEastAsia"/>
          <w:szCs w:val="20"/>
        </w:rPr>
        <w:t>Ranah</w:t>
      </w:r>
      <w:proofErr w:type="spellEnd"/>
      <w:r w:rsidRPr="00983A4F">
        <w:rPr>
          <w:rStyle w:val="Strong"/>
          <w:rFonts w:eastAsiaTheme="majorEastAsia"/>
          <w:szCs w:val="20"/>
        </w:rPr>
        <w:t xml:space="preserve"> </w:t>
      </w:r>
      <w:proofErr w:type="spellStart"/>
      <w:r w:rsidRPr="00983A4F">
        <w:rPr>
          <w:rStyle w:val="Strong"/>
          <w:rFonts w:eastAsiaTheme="majorEastAsia"/>
          <w:szCs w:val="20"/>
        </w:rPr>
        <w:t>kesehatan</w:t>
      </w:r>
      <w:proofErr w:type="spellEnd"/>
      <w:r w:rsidRPr="00983A4F">
        <w:rPr>
          <w:szCs w:val="20"/>
        </w:rPr>
        <w:t xml:space="preserve"> di </w:t>
      </w:r>
      <w:proofErr w:type="spellStart"/>
      <w:r w:rsidRPr="00983A4F">
        <w:rPr>
          <w:szCs w:val="20"/>
        </w:rPr>
        <w:t>perkotaan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memperlihatkan</w:t>
      </w:r>
      <w:proofErr w:type="spellEnd"/>
      <w:r w:rsidRPr="00983A4F">
        <w:rPr>
          <w:szCs w:val="20"/>
        </w:rPr>
        <w:t xml:space="preserve"> struktur hierarkis yang memperkuat stratifikasi kelas. Rumah sakit premium, klinik swasta, dan fasilitas publik menunjukkan segmentasi kelas yang jelas </w:t>
      </w:r>
      <w:proofErr w:type="spellStart"/>
      <w:r w:rsidRPr="00983A4F">
        <w:rPr>
          <w:szCs w:val="20"/>
        </w:rPr>
        <w:t>sehingga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memperlebar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jurang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akses</w:t>
      </w:r>
      <w:proofErr w:type="spellEnd"/>
      <w:r w:rsidRPr="00983A4F">
        <w:rPr>
          <w:szCs w:val="20"/>
        </w:rPr>
        <w:t>.</w:t>
      </w:r>
      <w:r w:rsidR="00983A4F">
        <w:rPr>
          <w:szCs w:val="20"/>
        </w:rPr>
        <w:t xml:space="preserve"> 5. </w:t>
      </w:r>
      <w:proofErr w:type="spellStart"/>
      <w:r w:rsidRPr="00983A4F">
        <w:rPr>
          <w:szCs w:val="20"/>
        </w:rPr>
        <w:t>Kombinasi</w:t>
      </w:r>
      <w:proofErr w:type="spellEnd"/>
      <w:r w:rsidRPr="00983A4F">
        <w:rPr>
          <w:szCs w:val="20"/>
        </w:rPr>
        <w:t xml:space="preserve"> modal, habitus, dan ranah menciptakan </w:t>
      </w:r>
      <w:r w:rsidRPr="00983A4F">
        <w:rPr>
          <w:rStyle w:val="Strong"/>
          <w:rFonts w:eastAsiaTheme="majorEastAsia"/>
          <w:szCs w:val="20"/>
        </w:rPr>
        <w:t>reproduksi sosial ketimpangan kesehatan</w:t>
      </w:r>
      <w:r w:rsidRPr="00983A4F">
        <w:rPr>
          <w:szCs w:val="20"/>
        </w:rPr>
        <w:t xml:space="preserve"> yang berlangsung antargenerasi. Ketimpangan ini </w:t>
      </w:r>
      <w:proofErr w:type="spellStart"/>
      <w:r w:rsidRPr="00983A4F">
        <w:rPr>
          <w:szCs w:val="20"/>
        </w:rPr>
        <w:t>bersifat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struktural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sekaligus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kultural</w:t>
      </w:r>
      <w:proofErr w:type="spellEnd"/>
      <w:r w:rsidRPr="00983A4F">
        <w:rPr>
          <w:szCs w:val="20"/>
        </w:rPr>
        <w:t>.</w:t>
      </w:r>
      <w:r w:rsid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Dengan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demikian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upaya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mengurangi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kesenjangan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harus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diarahkan</w:t>
      </w:r>
      <w:proofErr w:type="spellEnd"/>
      <w:r w:rsidRPr="00983A4F">
        <w:rPr>
          <w:szCs w:val="20"/>
        </w:rPr>
        <w:t xml:space="preserve"> pada </w:t>
      </w:r>
      <w:proofErr w:type="spellStart"/>
      <w:r w:rsidRPr="00983A4F">
        <w:rPr>
          <w:szCs w:val="20"/>
        </w:rPr>
        <w:t>intervensi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holistik</w:t>
      </w:r>
      <w:proofErr w:type="spellEnd"/>
      <w:r w:rsidRPr="00983A4F">
        <w:rPr>
          <w:szCs w:val="20"/>
        </w:rPr>
        <w:t xml:space="preserve"> yang </w:t>
      </w:r>
      <w:proofErr w:type="spellStart"/>
      <w:r w:rsidRPr="00983A4F">
        <w:rPr>
          <w:szCs w:val="20"/>
        </w:rPr>
        <w:t>mencakup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penguatan</w:t>
      </w:r>
      <w:proofErr w:type="spellEnd"/>
      <w:r w:rsidRPr="00983A4F">
        <w:rPr>
          <w:szCs w:val="20"/>
        </w:rPr>
        <w:t xml:space="preserve"> modal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komunitas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peningkatan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literasi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kesehatan</w:t>
      </w:r>
      <w:proofErr w:type="spellEnd"/>
      <w:r w:rsidRPr="00983A4F">
        <w:rPr>
          <w:szCs w:val="20"/>
        </w:rPr>
        <w:t xml:space="preserve">, </w:t>
      </w:r>
      <w:proofErr w:type="spellStart"/>
      <w:r w:rsidRPr="00983A4F">
        <w:rPr>
          <w:szCs w:val="20"/>
        </w:rPr>
        <w:t>pembenahan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struktur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layanan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publik</w:t>
      </w:r>
      <w:proofErr w:type="spellEnd"/>
      <w:r w:rsidRPr="00983A4F">
        <w:rPr>
          <w:szCs w:val="20"/>
        </w:rPr>
        <w:t xml:space="preserve">, dan </w:t>
      </w:r>
      <w:proofErr w:type="spellStart"/>
      <w:r w:rsidRPr="00983A4F">
        <w:rPr>
          <w:szCs w:val="20"/>
        </w:rPr>
        <w:t>kebijakan</w:t>
      </w:r>
      <w:proofErr w:type="spellEnd"/>
      <w:r w:rsidRPr="00983A4F">
        <w:rPr>
          <w:szCs w:val="20"/>
        </w:rPr>
        <w:t xml:space="preserve"> yang </w:t>
      </w:r>
      <w:proofErr w:type="spellStart"/>
      <w:r w:rsidRPr="00983A4F">
        <w:rPr>
          <w:szCs w:val="20"/>
        </w:rPr>
        <w:t>sensitif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terhadap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dinamika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kelas</w:t>
      </w:r>
      <w:proofErr w:type="spellEnd"/>
      <w:r w:rsidRPr="00983A4F">
        <w:rPr>
          <w:szCs w:val="20"/>
        </w:rPr>
        <w:t xml:space="preserve"> </w:t>
      </w:r>
      <w:proofErr w:type="spellStart"/>
      <w:r w:rsidRPr="00983A4F">
        <w:rPr>
          <w:szCs w:val="20"/>
        </w:rPr>
        <w:t>sosial</w:t>
      </w:r>
      <w:proofErr w:type="spellEnd"/>
      <w:r w:rsidRPr="00983A4F">
        <w:rPr>
          <w:szCs w:val="20"/>
        </w:rPr>
        <w:t xml:space="preserve"> di wilayah urban.</w:t>
      </w:r>
    </w:p>
    <w:p w14:paraId="039E55FA" w14:textId="77777777" w:rsidR="009B3458" w:rsidRPr="00983A4F" w:rsidRDefault="009B3458" w:rsidP="009B3458">
      <w:pPr>
        <w:spacing w:after="0"/>
        <w:rPr>
          <w:rFonts w:eastAsia="Times New Roman"/>
          <w:szCs w:val="20"/>
          <w:lang w:eastAsia="id-ID"/>
        </w:rPr>
      </w:pPr>
    </w:p>
    <w:p w14:paraId="6C550D2B" w14:textId="0FE2B956" w:rsidR="009B3458" w:rsidRPr="00983A4F" w:rsidRDefault="00983A4F" w:rsidP="009B3458">
      <w:pPr>
        <w:spacing w:after="0"/>
        <w:rPr>
          <w:rFonts w:eastAsia="Times New Roman"/>
          <w:b/>
          <w:bCs/>
          <w:szCs w:val="20"/>
          <w:lang w:eastAsia="id-ID"/>
        </w:rPr>
      </w:pPr>
      <w:r w:rsidRPr="00983A4F">
        <w:rPr>
          <w:rFonts w:eastAsia="Times New Roman"/>
          <w:b/>
          <w:bCs/>
          <w:szCs w:val="20"/>
          <w:lang w:eastAsia="id-ID"/>
        </w:rPr>
        <w:t>Daftar Pustaka</w:t>
      </w:r>
    </w:p>
    <w:p w14:paraId="15E7110D" w14:textId="77777777" w:rsidR="009B3458" w:rsidRPr="00983A4F" w:rsidRDefault="009B3458" w:rsidP="009B3458">
      <w:pPr>
        <w:spacing w:after="0"/>
        <w:rPr>
          <w:rFonts w:eastAsia="Times New Roman"/>
          <w:szCs w:val="20"/>
          <w:lang w:eastAsia="id-ID"/>
        </w:rPr>
      </w:pPr>
    </w:p>
    <w:p w14:paraId="16C48907" w14:textId="07ECDB02" w:rsidR="009B3458" w:rsidRPr="00983A4F" w:rsidRDefault="009B3458" w:rsidP="00983A4F">
      <w:pPr>
        <w:pStyle w:val="ListParagraph"/>
        <w:numPr>
          <w:ilvl w:val="0"/>
          <w:numId w:val="36"/>
        </w:numPr>
        <w:rPr>
          <w:color w:val="222222"/>
          <w:sz w:val="16"/>
          <w:szCs w:val="16"/>
          <w:shd w:val="clear" w:color="auto" w:fill="FFFFFF"/>
        </w:rPr>
      </w:pPr>
      <w:r w:rsidRPr="00983A4F">
        <w:rPr>
          <w:color w:val="222222"/>
          <w:sz w:val="16"/>
          <w:szCs w:val="16"/>
          <w:shd w:val="clear" w:color="auto" w:fill="FFFFFF"/>
        </w:rPr>
        <w:t xml:space="preserve">Akhiruddin, A., &amp; Syukur, M. (2025).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Pengembangan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Jiwa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Kewirausahaan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Mahasiswa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Pendidikan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Sosiologi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Melalui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Model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Pembelajaran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Berbasis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Proyek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di Era Digital. </w:t>
      </w:r>
      <w:proofErr w:type="spellStart"/>
      <w:r w:rsidRPr="00983A4F">
        <w:rPr>
          <w:i/>
          <w:iCs/>
          <w:color w:val="222222"/>
          <w:sz w:val="16"/>
          <w:szCs w:val="16"/>
          <w:shd w:val="clear" w:color="auto" w:fill="FFFFFF"/>
        </w:rPr>
        <w:t>Jurnal</w:t>
      </w:r>
      <w:proofErr w:type="spellEnd"/>
      <w:r w:rsidRPr="00983A4F">
        <w:rPr>
          <w:i/>
          <w:iCs/>
          <w:color w:val="222222"/>
          <w:sz w:val="16"/>
          <w:szCs w:val="16"/>
          <w:shd w:val="clear" w:color="auto" w:fill="FFFFFF"/>
        </w:rPr>
        <w:t xml:space="preserve"> Pendidikan dan </w:t>
      </w:r>
      <w:proofErr w:type="spellStart"/>
      <w:r w:rsidRPr="00983A4F">
        <w:rPr>
          <w:i/>
          <w:iCs/>
          <w:color w:val="222222"/>
          <w:sz w:val="16"/>
          <w:szCs w:val="16"/>
          <w:shd w:val="clear" w:color="auto" w:fill="FFFFFF"/>
        </w:rPr>
        <w:t>Kewirausahaan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>, </w:t>
      </w:r>
      <w:r w:rsidRPr="00983A4F">
        <w:rPr>
          <w:i/>
          <w:iCs/>
          <w:color w:val="222222"/>
          <w:sz w:val="16"/>
          <w:szCs w:val="16"/>
          <w:shd w:val="clear" w:color="auto" w:fill="FFFFFF"/>
        </w:rPr>
        <w:t>13</w:t>
      </w:r>
      <w:r w:rsidRPr="00983A4F">
        <w:rPr>
          <w:color w:val="222222"/>
          <w:sz w:val="16"/>
          <w:szCs w:val="16"/>
          <w:shd w:val="clear" w:color="auto" w:fill="FFFFFF"/>
        </w:rPr>
        <w:t>(1), 239-253.</w:t>
      </w:r>
    </w:p>
    <w:p w14:paraId="0CC98DDD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Booth, A., Sutton, A., &amp; Papaioannou, D. (2016).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Systematic approaches to a successful literature review</w:t>
      </w:r>
      <w:r w:rsidRPr="00983A4F">
        <w:rPr>
          <w:rFonts w:eastAsia="Times New Roman"/>
          <w:sz w:val="16"/>
          <w:szCs w:val="16"/>
          <w:lang w:eastAsia="id-ID"/>
        </w:rPr>
        <w:t>. SAGE.</w:t>
      </w:r>
    </w:p>
    <w:p w14:paraId="2B54133B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53727DE6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Braun, V., &amp; Clarke, V. (2019). Reflecting on reflexive thematic analysis.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Qualitative Research in Sport, Exercise and Health</w:t>
      </w:r>
      <w:r w:rsidRPr="00983A4F">
        <w:rPr>
          <w:rFonts w:eastAsia="Times New Roman"/>
          <w:sz w:val="16"/>
          <w:szCs w:val="16"/>
          <w:lang w:eastAsia="id-ID"/>
        </w:rPr>
        <w:t>, 11(4), 589–597.</w:t>
      </w:r>
    </w:p>
    <w:p w14:paraId="6A54B49F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4EA23052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Fitria, N., &amp; Sari, M. (2021). Modal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sosial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 dan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akses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layanan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kesehatan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masyarakat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 urban di Indonesia. </w:t>
      </w:r>
      <w:proofErr w:type="spellStart"/>
      <w:r w:rsidRPr="00983A4F">
        <w:rPr>
          <w:rFonts w:eastAsia="Times New Roman"/>
          <w:i/>
          <w:iCs/>
          <w:sz w:val="16"/>
          <w:szCs w:val="16"/>
          <w:lang w:eastAsia="id-ID"/>
        </w:rPr>
        <w:t>Jurnal</w:t>
      </w:r>
      <w:proofErr w:type="spellEnd"/>
      <w:r w:rsidRPr="00983A4F">
        <w:rPr>
          <w:rFonts w:eastAsia="Times New Roman"/>
          <w:i/>
          <w:iCs/>
          <w:sz w:val="16"/>
          <w:szCs w:val="16"/>
          <w:lang w:eastAsia="id-ID"/>
        </w:rPr>
        <w:t xml:space="preserve"> Kesehatan Masyarakat</w:t>
      </w:r>
      <w:r w:rsidRPr="00983A4F">
        <w:rPr>
          <w:rFonts w:eastAsia="Times New Roman"/>
          <w:sz w:val="16"/>
          <w:szCs w:val="16"/>
          <w:lang w:eastAsia="id-ID"/>
        </w:rPr>
        <w:t>, 16(2), 145–158.</w:t>
      </w:r>
    </w:p>
    <w:p w14:paraId="3F249D98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7ABEA7F5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Given, L. (2016).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100 Questions (and Answers) About Qualitative Research.</w:t>
      </w:r>
      <w:r w:rsidRPr="00983A4F">
        <w:rPr>
          <w:rFonts w:eastAsia="Times New Roman"/>
          <w:sz w:val="16"/>
          <w:szCs w:val="16"/>
          <w:lang w:eastAsia="id-ID"/>
        </w:rPr>
        <w:t xml:space="preserve"> SAGE.</w:t>
      </w:r>
      <w:r w:rsidRPr="00983A4F">
        <w:rPr>
          <w:rFonts w:eastAsia="Times New Roman"/>
          <w:sz w:val="16"/>
          <w:szCs w:val="16"/>
          <w:lang w:eastAsia="id-ID"/>
        </w:rPr>
        <w:br/>
        <w:t xml:space="preserve">Lincoln, Y. S., &amp; Guba, E. G. (2016).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Naturalistic Inquiry</w:t>
      </w:r>
      <w:r w:rsidRPr="00983A4F">
        <w:rPr>
          <w:rFonts w:eastAsia="Times New Roman"/>
          <w:sz w:val="16"/>
          <w:szCs w:val="16"/>
          <w:lang w:eastAsia="id-ID"/>
        </w:rPr>
        <w:t>. SAGE.</w:t>
      </w:r>
    </w:p>
    <w:p w14:paraId="7F3E56BD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159290B7" w14:textId="77777777" w:rsidR="009B3458" w:rsidRPr="00983A4F" w:rsidRDefault="009B3458" w:rsidP="00983A4F">
      <w:pPr>
        <w:pStyle w:val="ListParagraph"/>
        <w:numPr>
          <w:ilvl w:val="0"/>
          <w:numId w:val="36"/>
        </w:numPr>
        <w:rPr>
          <w:color w:val="222222"/>
          <w:sz w:val="16"/>
          <w:szCs w:val="16"/>
          <w:shd w:val="clear" w:color="auto" w:fill="FFFFFF"/>
        </w:rPr>
      </w:pPr>
      <w:r w:rsidRPr="00983A4F">
        <w:rPr>
          <w:color w:val="222222"/>
          <w:sz w:val="16"/>
          <w:szCs w:val="16"/>
          <w:shd w:val="clear" w:color="auto" w:fill="FFFFFF"/>
        </w:rPr>
        <w:lastRenderedPageBreak/>
        <w:t xml:space="preserve">Jalal, J., Akhiruddin, A.,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Salemuddin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, M. R., Iskandar, A. M., Sriwahyuni, S., &amp; Kasim, H. (2024). Social Construction for Maintaining Local Wisdom: Study of </w:t>
      </w:r>
      <w:proofErr w:type="spellStart"/>
      <w:r w:rsidRPr="00983A4F">
        <w:rPr>
          <w:color w:val="222222"/>
          <w:sz w:val="16"/>
          <w:szCs w:val="16"/>
          <w:shd w:val="clear" w:color="auto" w:fill="FFFFFF"/>
        </w:rPr>
        <w:t>Kajang</w:t>
      </w:r>
      <w:proofErr w:type="spellEnd"/>
      <w:r w:rsidRPr="00983A4F">
        <w:rPr>
          <w:color w:val="222222"/>
          <w:sz w:val="16"/>
          <w:szCs w:val="16"/>
          <w:shd w:val="clear" w:color="auto" w:fill="FFFFFF"/>
        </w:rPr>
        <w:t xml:space="preserve"> Community, South Sulawesi, Indonesia. </w:t>
      </w:r>
      <w:r w:rsidRPr="00983A4F">
        <w:rPr>
          <w:i/>
          <w:iCs/>
          <w:color w:val="222222"/>
          <w:sz w:val="16"/>
          <w:szCs w:val="16"/>
          <w:shd w:val="clear" w:color="auto" w:fill="FFFFFF"/>
        </w:rPr>
        <w:t>JSW (</w:t>
      </w:r>
      <w:proofErr w:type="spellStart"/>
      <w:r w:rsidRPr="00983A4F">
        <w:rPr>
          <w:i/>
          <w:iCs/>
          <w:color w:val="222222"/>
          <w:sz w:val="16"/>
          <w:szCs w:val="16"/>
          <w:shd w:val="clear" w:color="auto" w:fill="FFFFFF"/>
        </w:rPr>
        <w:t>Jurnal</w:t>
      </w:r>
      <w:proofErr w:type="spellEnd"/>
      <w:r w:rsidRPr="00983A4F">
        <w:rPr>
          <w:i/>
          <w:iCs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i/>
          <w:iCs/>
          <w:color w:val="222222"/>
          <w:sz w:val="16"/>
          <w:szCs w:val="16"/>
          <w:shd w:val="clear" w:color="auto" w:fill="FFFFFF"/>
        </w:rPr>
        <w:t>Sosiologi</w:t>
      </w:r>
      <w:proofErr w:type="spellEnd"/>
      <w:r w:rsidRPr="00983A4F">
        <w:rPr>
          <w:i/>
          <w:iCs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983A4F">
        <w:rPr>
          <w:i/>
          <w:iCs/>
          <w:color w:val="222222"/>
          <w:sz w:val="16"/>
          <w:szCs w:val="16"/>
          <w:shd w:val="clear" w:color="auto" w:fill="FFFFFF"/>
        </w:rPr>
        <w:t>Walisongo</w:t>
      </w:r>
      <w:proofErr w:type="spellEnd"/>
      <w:r w:rsidRPr="00983A4F">
        <w:rPr>
          <w:i/>
          <w:iCs/>
          <w:color w:val="222222"/>
          <w:sz w:val="16"/>
          <w:szCs w:val="16"/>
          <w:shd w:val="clear" w:color="auto" w:fill="FFFFFF"/>
        </w:rPr>
        <w:t>)</w:t>
      </w:r>
      <w:r w:rsidRPr="00983A4F">
        <w:rPr>
          <w:color w:val="222222"/>
          <w:sz w:val="16"/>
          <w:szCs w:val="16"/>
          <w:shd w:val="clear" w:color="auto" w:fill="FFFFFF"/>
        </w:rPr>
        <w:t>, </w:t>
      </w:r>
      <w:r w:rsidRPr="00983A4F">
        <w:rPr>
          <w:i/>
          <w:iCs/>
          <w:color w:val="222222"/>
          <w:sz w:val="16"/>
          <w:szCs w:val="16"/>
          <w:shd w:val="clear" w:color="auto" w:fill="FFFFFF"/>
        </w:rPr>
        <w:t>8</w:t>
      </w:r>
      <w:r w:rsidRPr="00983A4F">
        <w:rPr>
          <w:color w:val="222222"/>
          <w:sz w:val="16"/>
          <w:szCs w:val="16"/>
          <w:shd w:val="clear" w:color="auto" w:fill="FFFFFF"/>
        </w:rPr>
        <w:t xml:space="preserve">(1), 95-110. </w:t>
      </w:r>
    </w:p>
    <w:p w14:paraId="32C6804B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Munn, Z., Peters, M. D. J., Stern, C., Tufanaru, C., McArthur, A., &amp; </w:t>
      </w:r>
      <w:proofErr w:type="spellStart"/>
      <w:r w:rsidRPr="00983A4F">
        <w:rPr>
          <w:rFonts w:eastAsia="Times New Roman"/>
          <w:sz w:val="16"/>
          <w:szCs w:val="16"/>
          <w:lang w:eastAsia="id-ID"/>
        </w:rPr>
        <w:t>Aromataris</w:t>
      </w:r>
      <w:proofErr w:type="spellEnd"/>
      <w:r w:rsidRPr="00983A4F">
        <w:rPr>
          <w:rFonts w:eastAsia="Times New Roman"/>
          <w:sz w:val="16"/>
          <w:szCs w:val="16"/>
          <w:lang w:eastAsia="id-ID"/>
        </w:rPr>
        <w:t xml:space="preserve">, E. (2018). Systematic review or scoping review?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BMC Medical Research Methodology</w:t>
      </w:r>
      <w:r w:rsidRPr="00983A4F">
        <w:rPr>
          <w:rFonts w:eastAsia="Times New Roman"/>
          <w:sz w:val="16"/>
          <w:szCs w:val="16"/>
          <w:lang w:eastAsia="id-ID"/>
        </w:rPr>
        <w:t>, 18(1).</w:t>
      </w:r>
    </w:p>
    <w:p w14:paraId="04347F7D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6D0B8166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Mooney, G. (2015).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The health of nations: Towards a new political economy</w:t>
      </w:r>
      <w:r w:rsidRPr="00983A4F">
        <w:rPr>
          <w:rFonts w:eastAsia="Times New Roman"/>
          <w:sz w:val="16"/>
          <w:szCs w:val="16"/>
          <w:lang w:eastAsia="id-ID"/>
        </w:rPr>
        <w:t>. Zed Books.</w:t>
      </w:r>
    </w:p>
    <w:p w14:paraId="6D701F96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0178AF2A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Page, M. J., et al. (2021). PRISMA 2020 statement.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BMJ</w:t>
      </w:r>
      <w:r w:rsidRPr="00983A4F">
        <w:rPr>
          <w:rFonts w:eastAsia="Times New Roman"/>
          <w:sz w:val="16"/>
          <w:szCs w:val="16"/>
          <w:lang w:eastAsia="id-ID"/>
        </w:rPr>
        <w:t>, 372, n71.</w:t>
      </w:r>
    </w:p>
    <w:p w14:paraId="0DE48081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122288B8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Popay, J., Roberts, H., &amp; Sowden, A. (2019). Guidance on the conduct of narrative synthesis.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Journal of Advanced Nursing</w:t>
      </w:r>
      <w:r w:rsidRPr="00983A4F">
        <w:rPr>
          <w:rFonts w:eastAsia="Times New Roman"/>
          <w:sz w:val="16"/>
          <w:szCs w:val="16"/>
          <w:lang w:eastAsia="id-ID"/>
        </w:rPr>
        <w:t>, 75(12), 3657–3667.</w:t>
      </w:r>
    </w:p>
    <w:p w14:paraId="51E3AE22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269C21C9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Snyder, H. (2019). Literature review as a research methodology.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Journal of Business Research</w:t>
      </w:r>
      <w:r w:rsidRPr="00983A4F">
        <w:rPr>
          <w:rFonts w:eastAsia="Times New Roman"/>
          <w:sz w:val="16"/>
          <w:szCs w:val="16"/>
          <w:lang w:eastAsia="id-ID"/>
        </w:rPr>
        <w:t>, 104, 333–339.</w:t>
      </w:r>
    </w:p>
    <w:p w14:paraId="4EC8EC91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0D285AA2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Wulandari, D., Putri, S., &amp; Rahman, A. (2023). Health literacy and healthcare-seeking behavior in urban communities.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Journal of Urban Health Studies</w:t>
      </w:r>
      <w:r w:rsidRPr="00983A4F">
        <w:rPr>
          <w:rFonts w:eastAsia="Times New Roman"/>
          <w:sz w:val="16"/>
          <w:szCs w:val="16"/>
          <w:lang w:eastAsia="id-ID"/>
        </w:rPr>
        <w:t>, 9(1), 55–70.</w:t>
      </w:r>
    </w:p>
    <w:p w14:paraId="6029B82A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3B8B0FC1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World Health Organization. (2020).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Urban health: Key concepts and global challenges</w:t>
      </w:r>
      <w:r w:rsidRPr="00983A4F">
        <w:rPr>
          <w:rFonts w:eastAsia="Times New Roman"/>
          <w:sz w:val="16"/>
          <w:szCs w:val="16"/>
          <w:lang w:eastAsia="id-ID"/>
        </w:rPr>
        <w:t xml:space="preserve">. WHO </w:t>
      </w:r>
      <w:proofErr w:type="gramStart"/>
      <w:r w:rsidRPr="00983A4F">
        <w:rPr>
          <w:rFonts w:eastAsia="Times New Roman"/>
          <w:sz w:val="16"/>
          <w:szCs w:val="16"/>
          <w:lang w:eastAsia="id-ID"/>
        </w:rPr>
        <w:t>Press.</w:t>
      </w:r>
      <w:proofErr w:type="gramEnd"/>
    </w:p>
    <w:p w14:paraId="60E8398D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47F4B947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Xiao, Y., &amp; Watson, M. (2019). Guidance on conducting literature reviews.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Journal of Information Science</w:t>
      </w:r>
      <w:r w:rsidRPr="00983A4F">
        <w:rPr>
          <w:rFonts w:eastAsia="Times New Roman"/>
          <w:sz w:val="16"/>
          <w:szCs w:val="16"/>
          <w:lang w:eastAsia="id-ID"/>
        </w:rPr>
        <w:t>, 45(6), 751–775.</w:t>
      </w:r>
    </w:p>
    <w:p w14:paraId="1274B795" w14:textId="77777777" w:rsidR="009B3458" w:rsidRPr="00983A4F" w:rsidRDefault="009B3458" w:rsidP="009B3458">
      <w:pPr>
        <w:spacing w:after="0"/>
        <w:rPr>
          <w:rFonts w:eastAsia="Times New Roman"/>
          <w:sz w:val="16"/>
          <w:szCs w:val="16"/>
          <w:lang w:eastAsia="id-ID"/>
        </w:rPr>
      </w:pPr>
    </w:p>
    <w:p w14:paraId="22B379FD" w14:textId="77777777" w:rsidR="009B3458" w:rsidRPr="00983A4F" w:rsidRDefault="009B3458" w:rsidP="00983A4F">
      <w:pPr>
        <w:pStyle w:val="ListParagraph"/>
        <w:numPr>
          <w:ilvl w:val="0"/>
          <w:numId w:val="36"/>
        </w:numPr>
        <w:spacing w:after="0"/>
        <w:rPr>
          <w:rFonts w:eastAsia="Times New Roman"/>
          <w:sz w:val="16"/>
          <w:szCs w:val="16"/>
          <w:lang w:eastAsia="id-ID"/>
        </w:rPr>
      </w:pPr>
      <w:r w:rsidRPr="00983A4F">
        <w:rPr>
          <w:rFonts w:eastAsia="Times New Roman"/>
          <w:sz w:val="16"/>
          <w:szCs w:val="16"/>
          <w:lang w:eastAsia="id-ID"/>
        </w:rPr>
        <w:t xml:space="preserve">Zhao, L. (2022). Social capital and healthcare access among migrant workers in major Chinese cities. </w:t>
      </w:r>
      <w:r w:rsidRPr="00983A4F">
        <w:rPr>
          <w:rFonts w:eastAsia="Times New Roman"/>
          <w:i/>
          <w:iCs/>
          <w:sz w:val="16"/>
          <w:szCs w:val="16"/>
          <w:lang w:eastAsia="id-ID"/>
        </w:rPr>
        <w:t>Asian Social Science Review</w:t>
      </w:r>
      <w:r w:rsidRPr="00983A4F">
        <w:rPr>
          <w:rFonts w:eastAsia="Times New Roman"/>
          <w:sz w:val="16"/>
          <w:szCs w:val="16"/>
          <w:lang w:eastAsia="id-ID"/>
        </w:rPr>
        <w:t>, 18(3), 210–228.</w:t>
      </w:r>
    </w:p>
    <w:p w14:paraId="6A3AA189" w14:textId="0192AC85" w:rsidR="009B3458" w:rsidRPr="00983A4F" w:rsidRDefault="009B3458" w:rsidP="009B3458">
      <w:pPr>
        <w:rPr>
          <w:b/>
          <w:bCs/>
          <w:sz w:val="16"/>
          <w:szCs w:val="16"/>
          <w:lang w:val="sv-SE"/>
        </w:rPr>
        <w:sectPr w:rsidR="009B3458" w:rsidRPr="00983A4F" w:rsidSect="00983A4F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09" w:footer="709" w:gutter="0"/>
          <w:pgNumType w:start="5012"/>
          <w:cols w:space="720"/>
          <w:titlePg/>
          <w:docGrid w:linePitch="360"/>
        </w:sectPr>
      </w:pPr>
    </w:p>
    <w:p w14:paraId="41678428" w14:textId="3CD68F1C" w:rsidR="008717E0" w:rsidRPr="00983A4F" w:rsidRDefault="008717E0" w:rsidP="009B3458">
      <w:pPr>
        <w:spacing w:after="120"/>
        <w:rPr>
          <w:color w:val="0070C0"/>
          <w:szCs w:val="20"/>
          <w:lang w:val="sv-SE"/>
        </w:rPr>
      </w:pPr>
    </w:p>
    <w:sectPr w:rsidR="008717E0" w:rsidRPr="00983A4F" w:rsidSect="00EC587A">
      <w:headerReference w:type="default" r:id="rId15"/>
      <w:footerReference w:type="defaul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0438" w14:textId="77777777" w:rsidR="00B553C7" w:rsidRDefault="00B553C7">
      <w:pPr>
        <w:spacing w:after="0"/>
      </w:pPr>
      <w:r>
        <w:separator/>
      </w:r>
    </w:p>
  </w:endnote>
  <w:endnote w:type="continuationSeparator" w:id="0">
    <w:p w14:paraId="4B1D5B4B" w14:textId="77777777" w:rsidR="00B553C7" w:rsidRDefault="00B55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239CE32C" w:rsidR="00BC1510" w:rsidRPr="00190B77" w:rsidRDefault="00BC1510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</w:t>
    </w:r>
    <w:r w:rsidR="00983A4F" w:rsidRPr="00983A4F">
      <w:rPr>
        <w:rFonts w:eastAsia="Times New Roman"/>
        <w:color w:val="000000"/>
      </w:rPr>
      <w:t>10.31004/riggs.v4i4.</w:t>
    </w:r>
    <w:r w:rsidR="00983A4F">
      <w:rPr>
        <w:rFonts w:eastAsia="Times New Roman"/>
        <w:color w:val="000000"/>
      </w:rPr>
      <w:t>3975</w:t>
    </w:r>
  </w:p>
  <w:p w14:paraId="247164B8" w14:textId="77777777" w:rsidR="00BC1510" w:rsidRPr="00190B77" w:rsidRDefault="00BC1510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7DF07D" w14:textId="77777777" w:rsidR="00BC1510" w:rsidRDefault="00BC1510">
    <w:pPr>
      <w:pStyle w:val="Footer"/>
    </w:pPr>
  </w:p>
  <w:p w14:paraId="2B7FE8C4" w14:textId="77777777" w:rsidR="00BC1510" w:rsidRDefault="00BC1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6797A8A8" w:rsidR="00BC1510" w:rsidRPr="00AE62FB" w:rsidRDefault="00983A4F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983A4F">
      <w:rPr>
        <w:lang w:val="sv-SE"/>
      </w:rPr>
      <w:t>Modal Sosial, Modal Budaya, dan Habitus Kesehatan: Ketimpangan Akses Layanan Kesehatan di Masyarakat Perkotaan (Kajian Literatur Berbasis Teori Pierre Bourdieu)</w:t>
    </w:r>
  </w:p>
  <w:p w14:paraId="30D295F6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CFDD01" w14:textId="77777777" w:rsidR="00BC1510" w:rsidRDefault="00BC1510">
    <w:pPr>
      <w:pStyle w:val="Footer"/>
    </w:pPr>
  </w:p>
  <w:p w14:paraId="565E32A6" w14:textId="77777777" w:rsidR="00BC1510" w:rsidRDefault="00BC1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476DE55C" w:rsidR="00082DF1" w:rsidRPr="00190B77" w:rsidRDefault="00082DF1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bookmarkStart w:id="1" w:name="_Hlk70513816"/>
    <w:r w:rsidRPr="00190B77">
      <w:rPr>
        <w:rFonts w:eastAsia="Times New Roman"/>
        <w:color w:val="000000"/>
        <w:lang w:val="id-ID"/>
      </w:rPr>
      <w:t>DOI: https://doi.org/10.</w:t>
    </w:r>
    <w:proofErr w:type="spellStart"/>
    <w:r w:rsidR="00671DC2">
      <w:rPr>
        <w:rFonts w:eastAsia="Times New Roman"/>
        <w:color w:val="000000"/>
      </w:rPr>
      <w:t>xxxx</w:t>
    </w:r>
    <w:proofErr w:type="spellEnd"/>
    <w:r w:rsidRPr="00190B77">
      <w:rPr>
        <w:rFonts w:eastAsia="Times New Roman"/>
        <w:color w:val="000000"/>
        <w:lang w:val="id-ID"/>
      </w:rPr>
      <w:t>/</w:t>
    </w:r>
    <w:r w:rsidR="00671DC2">
      <w:rPr>
        <w:rFonts w:eastAsia="Times New Roman"/>
        <w:color w:val="000000"/>
      </w:rPr>
      <w:t>riggs</w:t>
    </w:r>
    <w:r w:rsidRPr="00190B77">
      <w:rPr>
        <w:rFonts w:eastAsia="Times New Roman"/>
        <w:color w:val="000000"/>
        <w:lang w:val="id-ID"/>
      </w:rPr>
      <w:t>.</w:t>
    </w:r>
    <w:proofErr w:type="spellStart"/>
    <w:r w:rsidR="00671DC2">
      <w:rPr>
        <w:rFonts w:eastAsia="Times New Roman"/>
        <w:color w:val="000000"/>
      </w:rPr>
      <w:t>xxxx</w:t>
    </w:r>
    <w:proofErr w:type="spellEnd"/>
    <w:r w:rsidRPr="00190B77">
      <w:rPr>
        <w:rFonts w:eastAsia="Times New Roman"/>
        <w:color w:val="000000"/>
        <w:lang w:val="id-ID"/>
      </w:rPr>
      <w:t>.xxx</w:t>
    </w:r>
  </w:p>
  <w:p w14:paraId="43064894" w14:textId="7ABE302F" w:rsidR="00DF0BEE" w:rsidRPr="00190B77" w:rsidRDefault="00D50E2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="00082DF1" w:rsidRPr="00190B77">
      <w:t>Creative Commons Attribution 4.0 International</w:t>
    </w:r>
    <w:r w:rsidR="00082DF1" w:rsidRPr="00190B77">
      <w:rPr>
        <w:lang w:val="id-ID"/>
      </w:rPr>
      <w:t xml:space="preserve"> (CC BY 4.0)</w:t>
    </w:r>
  </w:p>
  <w:bookmarkEnd w:id="1"/>
  <w:p w14:paraId="226BDC99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2</w:t>
    </w:r>
    <w:r>
      <w:fldChar w:fldCharType="end"/>
    </w:r>
  </w:p>
  <w:p w14:paraId="1EFAA39D" w14:textId="77777777" w:rsidR="00DF0BEE" w:rsidRDefault="00DF0BEE">
    <w:pPr>
      <w:pStyle w:val="Footer"/>
    </w:pPr>
  </w:p>
  <w:p w14:paraId="10638332" w14:textId="77777777" w:rsidR="00DF0BEE" w:rsidRDefault="00DF0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31A74874" w:rsidR="00DF0BEE" w:rsidRPr="00AE62FB" w:rsidRDefault="0070529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r w:rsidR="00C831F6" w:rsidRPr="00F02339">
      <w:t>Received</w:t>
    </w:r>
    <w:r>
      <w:t>: xx-</w:t>
    </w:r>
    <w:r w:rsidR="006126CE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C831F6" w:rsidRPr="00F02339">
      <w:t>Accepted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9A3B7A">
      <w:t>Published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</w:p>
  <w:p w14:paraId="161FBB04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1</w:t>
    </w:r>
    <w:r>
      <w:fldChar w:fldCharType="end"/>
    </w:r>
  </w:p>
  <w:p w14:paraId="5A563ABB" w14:textId="77777777" w:rsidR="00DF0BEE" w:rsidRDefault="00DF0BEE">
    <w:pPr>
      <w:pStyle w:val="Footer"/>
    </w:pPr>
  </w:p>
  <w:p w14:paraId="3917ED34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31EA" w14:textId="77777777" w:rsidR="00B553C7" w:rsidRDefault="00B553C7">
      <w:pPr>
        <w:spacing w:after="0"/>
      </w:pPr>
      <w:r>
        <w:separator/>
      </w:r>
    </w:p>
  </w:footnote>
  <w:footnote w:type="continuationSeparator" w:id="0">
    <w:p w14:paraId="789E4CE7" w14:textId="77777777" w:rsidR="00B553C7" w:rsidRDefault="00B55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0987" w14:textId="77777777" w:rsidR="00983A4F" w:rsidRDefault="00983A4F" w:rsidP="00983A4F">
    <w:pPr>
      <w:spacing w:after="0"/>
      <w:jc w:val="center"/>
      <w:rPr>
        <w:vertAlign w:val="superscript"/>
      </w:rPr>
    </w:pPr>
    <w:proofErr w:type="spellStart"/>
    <w:r w:rsidRPr="000740BF">
      <w:rPr>
        <w:szCs w:val="20"/>
      </w:rPr>
      <w:t>Muh.Yusri</w:t>
    </w:r>
    <w:proofErr w:type="spellEnd"/>
    <w:r w:rsidRPr="000740BF">
      <w:rPr>
        <w:szCs w:val="20"/>
      </w:rPr>
      <w:t xml:space="preserve"> Yunus</w:t>
    </w:r>
    <w:proofErr w:type="gramStart"/>
    <w:r w:rsidRPr="000740BF">
      <w:rPr>
        <w:szCs w:val="20"/>
        <w:vertAlign w:val="superscript"/>
      </w:rPr>
      <w:t>1</w:t>
    </w:r>
    <w:r>
      <w:rPr>
        <w:szCs w:val="20"/>
        <w:vertAlign w:val="superscript"/>
      </w:rPr>
      <w:t xml:space="preserve"> </w:t>
    </w:r>
    <w:r>
      <w:t>,</w:t>
    </w:r>
    <w:proofErr w:type="gramEnd"/>
    <w:r>
      <w:t xml:space="preserve"> </w:t>
    </w:r>
    <w:proofErr w:type="spellStart"/>
    <w:r w:rsidRPr="000740BF">
      <w:t>Syamsu</w:t>
    </w:r>
    <w:proofErr w:type="spellEnd"/>
    <w:r w:rsidRPr="000740BF">
      <w:t xml:space="preserve"> A</w:t>
    </w:r>
    <w:r>
      <w:t>.</w:t>
    </w:r>
    <w:r w:rsidRPr="000740BF">
      <w:t xml:space="preserve"> Kamaruddin</w:t>
    </w:r>
    <w:r w:rsidRPr="000740BF">
      <w:rPr>
        <w:vertAlign w:val="superscript"/>
      </w:rPr>
      <w:t>2</w:t>
    </w:r>
    <w:r w:rsidRPr="000740BF">
      <w:rPr>
        <w:rFonts w:eastAsia="Century Gothic"/>
      </w:rPr>
      <w:t xml:space="preserve">, </w:t>
    </w:r>
    <w:proofErr w:type="spellStart"/>
    <w:r w:rsidRPr="000740BF">
      <w:t>Arlin</w:t>
    </w:r>
    <w:proofErr w:type="spellEnd"/>
    <w:r w:rsidRPr="000740BF">
      <w:t xml:space="preserve"> Adam</w:t>
    </w:r>
    <w:r w:rsidRPr="000740BF">
      <w:rPr>
        <w:vertAlign w:val="superscript"/>
      </w:rPr>
      <w:t>3</w:t>
    </w:r>
  </w:p>
  <w:p w14:paraId="63A90C95" w14:textId="596D0A72" w:rsidR="00BC1510" w:rsidRPr="0033260F" w:rsidRDefault="00BC1510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</w:t>
    </w:r>
    <w:r w:rsidR="00983A4F">
      <w:t>4</w:t>
    </w:r>
    <w:r w:rsidRPr="00D031E8">
      <w:t xml:space="preserve"> </w:t>
    </w:r>
    <w:proofErr w:type="spellStart"/>
    <w:r w:rsidRPr="00D031E8">
      <w:t>Nomor</w:t>
    </w:r>
    <w:proofErr w:type="spellEnd"/>
    <w:r w:rsidRPr="00D031E8">
      <w:t xml:space="preserve"> </w:t>
    </w:r>
    <w:r w:rsidR="00983A4F">
      <w:t>4</w:t>
    </w:r>
    <w:r w:rsidRPr="00D031E8">
      <w:t>, 202</w:t>
    </w:r>
    <w:r w:rsidR="00983A4F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122E5C59" w:rsidR="0033260F" w:rsidRPr="00B95B45" w:rsidRDefault="00A84A35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  <w:lang w:val="id-ID"/>
      </w:rPr>
      <w:t xml:space="preserve"> </w:t>
    </w:r>
    <w:r w:rsidR="009A3B7A">
      <w:rPr>
        <w:rStyle w:val="SubtleEmphasis"/>
        <w:b w:val="0"/>
        <w:sz w:val="20"/>
      </w:rPr>
      <w:t>Author</w:t>
    </w:r>
    <w:r w:rsidR="009A3B7A" w:rsidRPr="001B7CD0">
      <w:rPr>
        <w:rStyle w:val="SubtleEmphasis"/>
        <w:b w:val="0"/>
        <w:sz w:val="20"/>
      </w:rPr>
      <w:t>1</w:t>
    </w:r>
    <w:r w:rsidR="009A3B7A" w:rsidRPr="00B95B45">
      <w:rPr>
        <w:rStyle w:val="SubtleEmphasis"/>
        <w:b w:val="0"/>
        <w:sz w:val="20"/>
      </w:rPr>
      <w:t xml:space="preserve">, </w:t>
    </w:r>
    <w:r w:rsidR="009A3B7A">
      <w:rPr>
        <w:rStyle w:val="SubtleEmphasis"/>
        <w:b w:val="0"/>
        <w:sz w:val="20"/>
      </w:rPr>
      <w:t>Author</w:t>
    </w:r>
    <w:r w:rsidR="009A3B7A" w:rsidRPr="001B7CD0">
      <w:rPr>
        <w:rStyle w:val="SubtleEmphasis"/>
        <w:b w:val="0"/>
        <w:sz w:val="20"/>
      </w:rPr>
      <w:t>2</w:t>
    </w:r>
  </w:p>
  <w:p w14:paraId="501587EF" w14:textId="54CCAA61" w:rsidR="00DF0BEE" w:rsidRPr="0033260F" w:rsidRDefault="00D031E8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0" w:name="_Hlk70543852"/>
    <w:r w:rsidRPr="00D031E8">
      <w:t>Journal of Artificial Intelligence and Digital Business (RIGGS)</w:t>
    </w:r>
    <w:r>
      <w:t xml:space="preserve"> </w:t>
    </w:r>
    <w:bookmarkEnd w:id="0"/>
    <w:r w:rsidRPr="00D031E8">
      <w:t xml:space="preserve">Volume X </w:t>
    </w:r>
    <w:proofErr w:type="spellStart"/>
    <w:r w:rsidRPr="00D031E8">
      <w:t>Nomor</w:t>
    </w:r>
    <w:proofErr w:type="spellEnd"/>
    <w:r w:rsidRPr="00D031E8">
      <w:t xml:space="preserve"> X, </w:t>
    </w:r>
    <w:proofErr w:type="spellStart"/>
    <w:r w:rsidRPr="00D031E8">
      <w:t>Juli</w:t>
    </w:r>
    <w:proofErr w:type="spellEnd"/>
    <w:r w:rsidRPr="00D031E8">
      <w:t xml:space="preserve"> 2022</w:t>
    </w:r>
    <w:r w:rsidR="0033260F">
      <w:rPr>
        <w:rFonts w:eastAsia="Times New Roman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404A9"/>
    <w:multiLevelType w:val="hybridMultilevel"/>
    <w:tmpl w:val="F5C65D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96552"/>
    <w:multiLevelType w:val="multilevel"/>
    <w:tmpl w:val="AB22D4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91D80"/>
    <w:multiLevelType w:val="multilevel"/>
    <w:tmpl w:val="FF506E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483968"/>
    <w:multiLevelType w:val="multilevel"/>
    <w:tmpl w:val="3DC87B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26DA0"/>
    <w:multiLevelType w:val="multilevel"/>
    <w:tmpl w:val="BA04D7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C0DD2"/>
    <w:multiLevelType w:val="multilevel"/>
    <w:tmpl w:val="22A8F4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440E3"/>
    <w:multiLevelType w:val="multilevel"/>
    <w:tmpl w:val="E7BC9B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A654088"/>
    <w:multiLevelType w:val="multilevel"/>
    <w:tmpl w:val="D2861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AD7F69"/>
    <w:multiLevelType w:val="hybridMultilevel"/>
    <w:tmpl w:val="1D4C7184"/>
    <w:lvl w:ilvl="0" w:tplc="446899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9A578B"/>
    <w:multiLevelType w:val="hybridMultilevel"/>
    <w:tmpl w:val="4CD873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09F1"/>
    <w:multiLevelType w:val="multilevel"/>
    <w:tmpl w:val="BAF0F7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1EF5720"/>
    <w:multiLevelType w:val="multilevel"/>
    <w:tmpl w:val="C8725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810C5"/>
    <w:multiLevelType w:val="multilevel"/>
    <w:tmpl w:val="8EEC87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C2BF3"/>
    <w:multiLevelType w:val="hybridMultilevel"/>
    <w:tmpl w:val="A6326F0E"/>
    <w:lvl w:ilvl="0" w:tplc="38090017">
      <w:start w:val="1"/>
      <w:numFmt w:val="lowerLetter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E173F85"/>
    <w:multiLevelType w:val="multilevel"/>
    <w:tmpl w:val="1A881D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24105AD"/>
    <w:multiLevelType w:val="multilevel"/>
    <w:tmpl w:val="18EC5610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47490C79"/>
    <w:multiLevelType w:val="multilevel"/>
    <w:tmpl w:val="5E487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541A31"/>
    <w:multiLevelType w:val="hybridMultilevel"/>
    <w:tmpl w:val="9572D43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6" w15:restartNumberingAfterBreak="0">
    <w:nsid w:val="52263D07"/>
    <w:multiLevelType w:val="multilevel"/>
    <w:tmpl w:val="6DE466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3012558"/>
    <w:multiLevelType w:val="multilevel"/>
    <w:tmpl w:val="D1BEFF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27599"/>
    <w:multiLevelType w:val="multilevel"/>
    <w:tmpl w:val="8EB8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D1658"/>
    <w:multiLevelType w:val="multilevel"/>
    <w:tmpl w:val="D8BC3A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5F12CA"/>
    <w:multiLevelType w:val="multilevel"/>
    <w:tmpl w:val="F26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4110E16"/>
    <w:multiLevelType w:val="multilevel"/>
    <w:tmpl w:val="6F6858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F6F17"/>
    <w:multiLevelType w:val="multilevel"/>
    <w:tmpl w:val="04A45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4"/>
  </w:num>
  <w:num w:numId="2">
    <w:abstractNumId w:val="30"/>
  </w:num>
  <w:num w:numId="3">
    <w:abstractNumId w:val="0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25"/>
  </w:num>
  <w:num w:numId="9">
    <w:abstractNumId w:val="4"/>
  </w:num>
  <w:num w:numId="10">
    <w:abstractNumId w:val="32"/>
  </w:num>
  <w:num w:numId="11">
    <w:abstractNumId w:val="27"/>
  </w:num>
  <w:num w:numId="12">
    <w:abstractNumId w:val="20"/>
  </w:num>
  <w:num w:numId="13">
    <w:abstractNumId w:val="31"/>
  </w:num>
  <w:num w:numId="14">
    <w:abstractNumId w:val="5"/>
  </w:num>
  <w:num w:numId="15">
    <w:abstractNumId w:val="21"/>
  </w:num>
  <w:num w:numId="16">
    <w:abstractNumId w:val="17"/>
  </w:num>
  <w:num w:numId="17">
    <w:abstractNumId w:val="16"/>
  </w:num>
  <w:num w:numId="18">
    <w:abstractNumId w:val="24"/>
  </w:num>
  <w:num w:numId="19">
    <w:abstractNumId w:val="11"/>
  </w:num>
  <w:num w:numId="20">
    <w:abstractNumId w:val="19"/>
  </w:num>
  <w:num w:numId="21">
    <w:abstractNumId w:val="1"/>
  </w:num>
  <w:num w:numId="22">
    <w:abstractNumId w:val="35"/>
  </w:num>
  <w:num w:numId="23">
    <w:abstractNumId w:val="23"/>
  </w:num>
  <w:num w:numId="24">
    <w:abstractNumId w:val="15"/>
  </w:num>
  <w:num w:numId="25">
    <w:abstractNumId w:val="12"/>
  </w:num>
  <w:num w:numId="26">
    <w:abstractNumId w:val="8"/>
  </w:num>
  <w:num w:numId="27">
    <w:abstractNumId w:val="22"/>
  </w:num>
  <w:num w:numId="28">
    <w:abstractNumId w:val="26"/>
  </w:num>
  <w:num w:numId="29">
    <w:abstractNumId w:val="2"/>
  </w:num>
  <w:num w:numId="30">
    <w:abstractNumId w:val="28"/>
  </w:num>
  <w:num w:numId="31">
    <w:abstractNumId w:val="7"/>
  </w:num>
  <w:num w:numId="32">
    <w:abstractNumId w:val="3"/>
  </w:num>
  <w:num w:numId="33">
    <w:abstractNumId w:val="33"/>
  </w:num>
  <w:num w:numId="34">
    <w:abstractNumId w:val="29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1D9D"/>
    <w:rsid w:val="0001447E"/>
    <w:rsid w:val="000203EF"/>
    <w:rsid w:val="000279C2"/>
    <w:rsid w:val="000528B7"/>
    <w:rsid w:val="00060D54"/>
    <w:rsid w:val="00064AFE"/>
    <w:rsid w:val="00070790"/>
    <w:rsid w:val="00072D40"/>
    <w:rsid w:val="00081AEF"/>
    <w:rsid w:val="00082DF1"/>
    <w:rsid w:val="00084DD6"/>
    <w:rsid w:val="000946DC"/>
    <w:rsid w:val="000A369D"/>
    <w:rsid w:val="000A7E3D"/>
    <w:rsid w:val="000A7F0A"/>
    <w:rsid w:val="000B3B4C"/>
    <w:rsid w:val="000C58B8"/>
    <w:rsid w:val="000D10D5"/>
    <w:rsid w:val="000D23E6"/>
    <w:rsid w:val="000E2373"/>
    <w:rsid w:val="000E46C1"/>
    <w:rsid w:val="0010035E"/>
    <w:rsid w:val="001054BA"/>
    <w:rsid w:val="0011461B"/>
    <w:rsid w:val="001147D8"/>
    <w:rsid w:val="00120A52"/>
    <w:rsid w:val="00123E24"/>
    <w:rsid w:val="00132325"/>
    <w:rsid w:val="00133441"/>
    <w:rsid w:val="0017382D"/>
    <w:rsid w:val="00190B77"/>
    <w:rsid w:val="001A6847"/>
    <w:rsid w:val="001B7505"/>
    <w:rsid w:val="001B7CD0"/>
    <w:rsid w:val="001C713A"/>
    <w:rsid w:val="001D0BDC"/>
    <w:rsid w:val="001D0F54"/>
    <w:rsid w:val="001D7D30"/>
    <w:rsid w:val="001E4099"/>
    <w:rsid w:val="001F1F9A"/>
    <w:rsid w:val="00201B54"/>
    <w:rsid w:val="0020426B"/>
    <w:rsid w:val="00213722"/>
    <w:rsid w:val="0022233B"/>
    <w:rsid w:val="002430C8"/>
    <w:rsid w:val="002752DE"/>
    <w:rsid w:val="00276505"/>
    <w:rsid w:val="002C1AA0"/>
    <w:rsid w:val="002D338D"/>
    <w:rsid w:val="002D57C4"/>
    <w:rsid w:val="002D60B6"/>
    <w:rsid w:val="002E5364"/>
    <w:rsid w:val="002F2A68"/>
    <w:rsid w:val="002F5468"/>
    <w:rsid w:val="002F6CF0"/>
    <w:rsid w:val="003068A7"/>
    <w:rsid w:val="0033205A"/>
    <w:rsid w:val="0033260F"/>
    <w:rsid w:val="00342233"/>
    <w:rsid w:val="003468AB"/>
    <w:rsid w:val="00355D7E"/>
    <w:rsid w:val="003577F2"/>
    <w:rsid w:val="00361AC6"/>
    <w:rsid w:val="00397ABF"/>
    <w:rsid w:val="003B17BE"/>
    <w:rsid w:val="003B496A"/>
    <w:rsid w:val="003B5E83"/>
    <w:rsid w:val="003C0EE1"/>
    <w:rsid w:val="003E55A5"/>
    <w:rsid w:val="003E6BC9"/>
    <w:rsid w:val="003F4478"/>
    <w:rsid w:val="003F51D8"/>
    <w:rsid w:val="004055A4"/>
    <w:rsid w:val="00410A82"/>
    <w:rsid w:val="00413896"/>
    <w:rsid w:val="00433408"/>
    <w:rsid w:val="0043444F"/>
    <w:rsid w:val="00437181"/>
    <w:rsid w:val="004601B5"/>
    <w:rsid w:val="004936A3"/>
    <w:rsid w:val="004A0DDF"/>
    <w:rsid w:val="004A6011"/>
    <w:rsid w:val="004A7B94"/>
    <w:rsid w:val="004B4C23"/>
    <w:rsid w:val="004B505B"/>
    <w:rsid w:val="004D1DA5"/>
    <w:rsid w:val="004E0DC5"/>
    <w:rsid w:val="004E6245"/>
    <w:rsid w:val="004F372D"/>
    <w:rsid w:val="004F6849"/>
    <w:rsid w:val="004F7CFF"/>
    <w:rsid w:val="0052576B"/>
    <w:rsid w:val="0054643A"/>
    <w:rsid w:val="005563B3"/>
    <w:rsid w:val="0057105F"/>
    <w:rsid w:val="00593F36"/>
    <w:rsid w:val="005968AF"/>
    <w:rsid w:val="00596EAF"/>
    <w:rsid w:val="005B4516"/>
    <w:rsid w:val="005D16BC"/>
    <w:rsid w:val="005D1BA1"/>
    <w:rsid w:val="005D4B5A"/>
    <w:rsid w:val="005E0524"/>
    <w:rsid w:val="005F2A02"/>
    <w:rsid w:val="00600957"/>
    <w:rsid w:val="006032AC"/>
    <w:rsid w:val="006054EF"/>
    <w:rsid w:val="00610015"/>
    <w:rsid w:val="006126CE"/>
    <w:rsid w:val="00616826"/>
    <w:rsid w:val="006367DF"/>
    <w:rsid w:val="0065051F"/>
    <w:rsid w:val="006518BB"/>
    <w:rsid w:val="006520F2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3633"/>
    <w:rsid w:val="006904EA"/>
    <w:rsid w:val="00693C5F"/>
    <w:rsid w:val="00696A5F"/>
    <w:rsid w:val="00696ADB"/>
    <w:rsid w:val="006B3792"/>
    <w:rsid w:val="006C6EDD"/>
    <w:rsid w:val="006D1672"/>
    <w:rsid w:val="006F3FF8"/>
    <w:rsid w:val="006F50DD"/>
    <w:rsid w:val="006F5BA8"/>
    <w:rsid w:val="00705293"/>
    <w:rsid w:val="00710597"/>
    <w:rsid w:val="00710C3A"/>
    <w:rsid w:val="00711FD4"/>
    <w:rsid w:val="00736D0D"/>
    <w:rsid w:val="00740D6F"/>
    <w:rsid w:val="007434EF"/>
    <w:rsid w:val="0074541A"/>
    <w:rsid w:val="007616B8"/>
    <w:rsid w:val="007617F1"/>
    <w:rsid w:val="00761E95"/>
    <w:rsid w:val="00762D50"/>
    <w:rsid w:val="00785D18"/>
    <w:rsid w:val="007860ED"/>
    <w:rsid w:val="007A3A9B"/>
    <w:rsid w:val="007B4400"/>
    <w:rsid w:val="007C6C36"/>
    <w:rsid w:val="007D14D6"/>
    <w:rsid w:val="007E7A4A"/>
    <w:rsid w:val="00805BE9"/>
    <w:rsid w:val="00807C9E"/>
    <w:rsid w:val="0081097F"/>
    <w:rsid w:val="008200A3"/>
    <w:rsid w:val="008430EB"/>
    <w:rsid w:val="00847F3A"/>
    <w:rsid w:val="00854C35"/>
    <w:rsid w:val="008642E7"/>
    <w:rsid w:val="00864FB1"/>
    <w:rsid w:val="00870468"/>
    <w:rsid w:val="008717E0"/>
    <w:rsid w:val="00871F81"/>
    <w:rsid w:val="00896E08"/>
    <w:rsid w:val="008A1EED"/>
    <w:rsid w:val="008B0955"/>
    <w:rsid w:val="008B7BFE"/>
    <w:rsid w:val="008D342A"/>
    <w:rsid w:val="008D6BCE"/>
    <w:rsid w:val="008F6707"/>
    <w:rsid w:val="00900539"/>
    <w:rsid w:val="009045CB"/>
    <w:rsid w:val="00931380"/>
    <w:rsid w:val="0093231C"/>
    <w:rsid w:val="009357E7"/>
    <w:rsid w:val="00944133"/>
    <w:rsid w:val="00955106"/>
    <w:rsid w:val="00966C5D"/>
    <w:rsid w:val="00971375"/>
    <w:rsid w:val="009720B9"/>
    <w:rsid w:val="0097759B"/>
    <w:rsid w:val="00983A4F"/>
    <w:rsid w:val="009937A7"/>
    <w:rsid w:val="009956A7"/>
    <w:rsid w:val="00995917"/>
    <w:rsid w:val="009A1EC2"/>
    <w:rsid w:val="009A2F9D"/>
    <w:rsid w:val="009A32C1"/>
    <w:rsid w:val="009A3B7A"/>
    <w:rsid w:val="009A624F"/>
    <w:rsid w:val="009B3458"/>
    <w:rsid w:val="009C555A"/>
    <w:rsid w:val="009D2EBE"/>
    <w:rsid w:val="009E0DE1"/>
    <w:rsid w:val="009E37F2"/>
    <w:rsid w:val="00A10EFB"/>
    <w:rsid w:val="00A11036"/>
    <w:rsid w:val="00A416FA"/>
    <w:rsid w:val="00A478DE"/>
    <w:rsid w:val="00A653FD"/>
    <w:rsid w:val="00A668E7"/>
    <w:rsid w:val="00A677E3"/>
    <w:rsid w:val="00A707D9"/>
    <w:rsid w:val="00A72093"/>
    <w:rsid w:val="00A72298"/>
    <w:rsid w:val="00A84A35"/>
    <w:rsid w:val="00A94B13"/>
    <w:rsid w:val="00AB0E53"/>
    <w:rsid w:val="00AB2EFE"/>
    <w:rsid w:val="00AB500F"/>
    <w:rsid w:val="00AC7F79"/>
    <w:rsid w:val="00AD2EB0"/>
    <w:rsid w:val="00AE62FB"/>
    <w:rsid w:val="00AF2375"/>
    <w:rsid w:val="00AF75D3"/>
    <w:rsid w:val="00B33B25"/>
    <w:rsid w:val="00B33E95"/>
    <w:rsid w:val="00B428C4"/>
    <w:rsid w:val="00B43AFF"/>
    <w:rsid w:val="00B553C7"/>
    <w:rsid w:val="00B82A0F"/>
    <w:rsid w:val="00B83D7B"/>
    <w:rsid w:val="00B84C63"/>
    <w:rsid w:val="00B8786D"/>
    <w:rsid w:val="00B95B45"/>
    <w:rsid w:val="00BC1510"/>
    <w:rsid w:val="00BC70A9"/>
    <w:rsid w:val="00BD5748"/>
    <w:rsid w:val="00BD6072"/>
    <w:rsid w:val="00C02C35"/>
    <w:rsid w:val="00C035BA"/>
    <w:rsid w:val="00C13857"/>
    <w:rsid w:val="00C3168D"/>
    <w:rsid w:val="00C31806"/>
    <w:rsid w:val="00C36191"/>
    <w:rsid w:val="00C4432B"/>
    <w:rsid w:val="00C54738"/>
    <w:rsid w:val="00C64BA2"/>
    <w:rsid w:val="00C67BE4"/>
    <w:rsid w:val="00C72934"/>
    <w:rsid w:val="00C74537"/>
    <w:rsid w:val="00C74C90"/>
    <w:rsid w:val="00C76BC6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D1425"/>
    <w:rsid w:val="00CD2335"/>
    <w:rsid w:val="00D031E8"/>
    <w:rsid w:val="00D279DC"/>
    <w:rsid w:val="00D31ADC"/>
    <w:rsid w:val="00D41C26"/>
    <w:rsid w:val="00D50E28"/>
    <w:rsid w:val="00D5771A"/>
    <w:rsid w:val="00D610B2"/>
    <w:rsid w:val="00D63AFC"/>
    <w:rsid w:val="00D671FB"/>
    <w:rsid w:val="00D70AEF"/>
    <w:rsid w:val="00D72779"/>
    <w:rsid w:val="00D7609F"/>
    <w:rsid w:val="00D87651"/>
    <w:rsid w:val="00D9207E"/>
    <w:rsid w:val="00D972B9"/>
    <w:rsid w:val="00DA5F36"/>
    <w:rsid w:val="00DB164C"/>
    <w:rsid w:val="00DD61AF"/>
    <w:rsid w:val="00DE0FB0"/>
    <w:rsid w:val="00DE54AB"/>
    <w:rsid w:val="00DE7388"/>
    <w:rsid w:val="00DF0332"/>
    <w:rsid w:val="00DF0BEE"/>
    <w:rsid w:val="00DF1FA9"/>
    <w:rsid w:val="00E016FA"/>
    <w:rsid w:val="00E04D08"/>
    <w:rsid w:val="00E10DA3"/>
    <w:rsid w:val="00E10F39"/>
    <w:rsid w:val="00E12C6E"/>
    <w:rsid w:val="00E13A96"/>
    <w:rsid w:val="00E23D61"/>
    <w:rsid w:val="00E318EE"/>
    <w:rsid w:val="00E45480"/>
    <w:rsid w:val="00E56B54"/>
    <w:rsid w:val="00E57996"/>
    <w:rsid w:val="00E6099F"/>
    <w:rsid w:val="00E61729"/>
    <w:rsid w:val="00E62620"/>
    <w:rsid w:val="00E63DB0"/>
    <w:rsid w:val="00E71DF8"/>
    <w:rsid w:val="00E84033"/>
    <w:rsid w:val="00EA24A0"/>
    <w:rsid w:val="00EB56CD"/>
    <w:rsid w:val="00EC587A"/>
    <w:rsid w:val="00EC7EAD"/>
    <w:rsid w:val="00ED3704"/>
    <w:rsid w:val="00ED77D8"/>
    <w:rsid w:val="00EE382D"/>
    <w:rsid w:val="00EF32D2"/>
    <w:rsid w:val="00EF356E"/>
    <w:rsid w:val="00EF485F"/>
    <w:rsid w:val="00F10800"/>
    <w:rsid w:val="00F12B74"/>
    <w:rsid w:val="00F2027F"/>
    <w:rsid w:val="00F26EED"/>
    <w:rsid w:val="00F44DF6"/>
    <w:rsid w:val="00F45D3A"/>
    <w:rsid w:val="00F56B22"/>
    <w:rsid w:val="00F64CF2"/>
    <w:rsid w:val="00F65811"/>
    <w:rsid w:val="00F750D2"/>
    <w:rsid w:val="00F93300"/>
    <w:rsid w:val="00FA50AA"/>
    <w:rsid w:val="00FB136E"/>
    <w:rsid w:val="00FB6C06"/>
    <w:rsid w:val="00FD46FC"/>
    <w:rsid w:val="00FD5205"/>
    <w:rsid w:val="00FD6474"/>
    <w:rsid w:val="00FD652B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53BA98A4-F4C4-4B63-B3E9-78D52729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9B3458"/>
    <w:pPr>
      <w:spacing w:after="0"/>
      <w:jc w:val="left"/>
    </w:pPr>
    <w:rPr>
      <w:rFonts w:eastAsia="Times New Roman"/>
      <w:color w:val="0000FF"/>
      <w:sz w:val="14"/>
      <w:szCs w:val="14"/>
      <w:lang w:val="id-ID" w:eastAsia="id-ID"/>
    </w:rPr>
  </w:style>
  <w:style w:type="character" w:customStyle="1" w:styleId="s1">
    <w:name w:val="s1"/>
    <w:basedOn w:val="DefaultParagraphFont"/>
    <w:rsid w:val="009B3458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9B3458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ilmudata.co.id/index.php/RIGGS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lin.adam73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yamsu.k@unm.ac.i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isar2mubarak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20268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12</cp:revision>
  <cp:lastPrinted>2018-06-26T09:35:00Z</cp:lastPrinted>
  <dcterms:created xsi:type="dcterms:W3CDTF">2025-03-22T07:16:00Z</dcterms:created>
  <dcterms:modified xsi:type="dcterms:W3CDTF">2025-12-15T05:26:00Z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