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054313">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054313">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054313">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054313">
            <w:pPr>
              <w:spacing w:after="20"/>
              <w:jc w:val="left"/>
              <w:rPr>
                <w:spacing w:val="20"/>
                <w:position w:val="6"/>
                <w:sz w:val="24"/>
                <w:szCs w:val="24"/>
              </w:rPr>
            </w:pPr>
            <w:r w:rsidRPr="00E12C6E">
              <w:rPr>
                <w:spacing w:val="20"/>
                <w:position w:val="6"/>
                <w:sz w:val="24"/>
                <w:szCs w:val="24"/>
              </w:rPr>
              <w:t xml:space="preserve">Homepage: </w:t>
            </w:r>
            <w:hyperlink r:id="rId8" w:history="1">
              <w:r w:rsidRPr="000B546A">
                <w:rPr>
                  <w:rStyle w:val="Hyperlink"/>
                  <w:spacing w:val="20"/>
                  <w:position w:val="6"/>
                  <w:sz w:val="24"/>
                  <w:szCs w:val="24"/>
                </w:rPr>
                <w:t>https://journal.ilmudata.co.id/index.php/RIGGS</w:t>
              </w:r>
            </w:hyperlink>
          </w:p>
          <w:p w14:paraId="32D1DE4C" w14:textId="183600CE" w:rsidR="005968AF" w:rsidRDefault="002C1AA0" w:rsidP="00054313">
            <w:pPr>
              <w:spacing w:after="20"/>
              <w:jc w:val="left"/>
              <w:rPr>
                <w:spacing w:val="20"/>
                <w:position w:val="6"/>
                <w:sz w:val="24"/>
                <w:szCs w:val="24"/>
              </w:rPr>
            </w:pPr>
            <w:r w:rsidRPr="002C1AA0">
              <w:rPr>
                <w:spacing w:val="20"/>
                <w:position w:val="6"/>
                <w:sz w:val="24"/>
                <w:szCs w:val="24"/>
              </w:rPr>
              <w:t>Vol. 1 No. 1 (2022)</w:t>
            </w:r>
            <w:r>
              <w:rPr>
                <w:spacing w:val="20"/>
                <w:position w:val="6"/>
                <w:sz w:val="24"/>
                <w:szCs w:val="24"/>
              </w:rPr>
              <w:t xml:space="preserve"> </w:t>
            </w:r>
            <w:r w:rsidR="005968AF" w:rsidRPr="005968AF">
              <w:rPr>
                <w:spacing w:val="20"/>
                <w:position w:val="6"/>
                <w:sz w:val="24"/>
                <w:szCs w:val="24"/>
              </w:rPr>
              <w:t>pp: 1-</w:t>
            </w:r>
            <w:r w:rsidR="005968AF">
              <w:rPr>
                <w:spacing w:val="20"/>
                <w:position w:val="6"/>
                <w:sz w:val="24"/>
                <w:szCs w:val="24"/>
              </w:rPr>
              <w:t>5</w:t>
            </w:r>
          </w:p>
          <w:p w14:paraId="23A01938" w14:textId="7E69904D" w:rsidR="00201B54" w:rsidRPr="00E12C6E" w:rsidRDefault="00201B54" w:rsidP="00054313">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5D44ADA0" w14:textId="55EA99AF" w:rsidR="00693C5F" w:rsidRDefault="00FA05F7" w:rsidP="00054313">
      <w:pPr>
        <w:pStyle w:val="Subtitle"/>
        <w:spacing w:before="240"/>
        <w:rPr>
          <w:b w:val="0"/>
          <w:bCs/>
        </w:rPr>
      </w:pPr>
      <w:r w:rsidRPr="00FA05F7">
        <w:rPr>
          <w:b w:val="0"/>
          <w:bCs/>
        </w:rPr>
        <w:t>Capital Market Reaction to the Announcement of BI Rate Cut on LQ45 Index Banking Stocks</w:t>
      </w:r>
    </w:p>
    <w:p w14:paraId="2EC5C312" w14:textId="154087C2" w:rsidR="00693C5F" w:rsidRPr="00054313" w:rsidRDefault="00B4120C" w:rsidP="00054313">
      <w:pPr>
        <w:pStyle w:val="Subtitle"/>
        <w:spacing w:after="0"/>
        <w:rPr>
          <w:rStyle w:val="SubtleEmphasis"/>
          <w:b w:val="0"/>
          <w:sz w:val="20"/>
          <w:szCs w:val="20"/>
        </w:rPr>
      </w:pPr>
      <w:proofErr w:type="spellStart"/>
      <w:r w:rsidRPr="00054313">
        <w:rPr>
          <w:rStyle w:val="SubtleEmphasis"/>
          <w:b w:val="0"/>
          <w:sz w:val="20"/>
          <w:szCs w:val="20"/>
        </w:rPr>
        <w:t>Lutfia</w:t>
      </w:r>
      <w:proofErr w:type="spellEnd"/>
      <w:r w:rsidRPr="00054313">
        <w:rPr>
          <w:rStyle w:val="SubtleEmphasis"/>
          <w:b w:val="0"/>
          <w:sz w:val="20"/>
          <w:szCs w:val="20"/>
        </w:rPr>
        <w:t xml:space="preserve"> </w:t>
      </w:r>
      <w:proofErr w:type="spellStart"/>
      <w:r w:rsidRPr="00054313">
        <w:rPr>
          <w:rStyle w:val="SubtleEmphasis"/>
          <w:b w:val="0"/>
          <w:sz w:val="20"/>
          <w:szCs w:val="20"/>
        </w:rPr>
        <w:t>Khairani</w:t>
      </w:r>
      <w:proofErr w:type="spellEnd"/>
      <w:r w:rsidR="00693C5F" w:rsidRPr="00054313">
        <w:rPr>
          <w:rStyle w:val="SubtleEmphasis"/>
          <w:b w:val="0"/>
          <w:sz w:val="20"/>
          <w:szCs w:val="20"/>
        </w:rPr>
        <w:t xml:space="preserve">, </w:t>
      </w:r>
      <w:proofErr w:type="spellStart"/>
      <w:r w:rsidRPr="00054313">
        <w:rPr>
          <w:rStyle w:val="SubtleEmphasis"/>
          <w:b w:val="0"/>
          <w:sz w:val="20"/>
          <w:szCs w:val="20"/>
        </w:rPr>
        <w:t>Selvia</w:t>
      </w:r>
      <w:proofErr w:type="spellEnd"/>
      <w:r w:rsidRPr="00054313">
        <w:rPr>
          <w:rStyle w:val="SubtleEmphasis"/>
          <w:b w:val="0"/>
          <w:sz w:val="20"/>
          <w:szCs w:val="20"/>
        </w:rPr>
        <w:t xml:space="preserve"> Eka </w:t>
      </w:r>
      <w:proofErr w:type="spellStart"/>
      <w:r w:rsidRPr="00054313">
        <w:rPr>
          <w:rStyle w:val="SubtleEmphasis"/>
          <w:b w:val="0"/>
          <w:sz w:val="20"/>
          <w:szCs w:val="20"/>
        </w:rPr>
        <w:t>Aristantia</w:t>
      </w:r>
      <w:proofErr w:type="spellEnd"/>
      <w:r w:rsidR="00693C5F" w:rsidRPr="00054313">
        <w:rPr>
          <w:rStyle w:val="SubtleEmphasis"/>
          <w:b w:val="0"/>
          <w:sz w:val="20"/>
          <w:szCs w:val="20"/>
        </w:rPr>
        <w:t xml:space="preserve"> </w:t>
      </w:r>
    </w:p>
    <w:p w14:paraId="73D94B40" w14:textId="0C9C9F16" w:rsidR="00693C5F" w:rsidRPr="00054313" w:rsidRDefault="00B4120C" w:rsidP="00054313">
      <w:pPr>
        <w:pStyle w:val="Subtitle"/>
        <w:spacing w:after="0"/>
        <w:rPr>
          <w:rStyle w:val="SubtleEmphasis"/>
          <w:b w:val="0"/>
          <w:szCs w:val="18"/>
        </w:rPr>
      </w:pPr>
      <w:r w:rsidRPr="00054313">
        <w:rPr>
          <w:rStyle w:val="SubtleEmphasis"/>
          <w:b w:val="0"/>
          <w:szCs w:val="18"/>
        </w:rPr>
        <w:t xml:space="preserve">Program </w:t>
      </w:r>
      <w:proofErr w:type="spellStart"/>
      <w:r w:rsidRPr="00054313">
        <w:rPr>
          <w:rStyle w:val="SubtleEmphasis"/>
          <w:b w:val="0"/>
          <w:szCs w:val="18"/>
        </w:rPr>
        <w:t>Studi</w:t>
      </w:r>
      <w:proofErr w:type="spellEnd"/>
      <w:r w:rsidRPr="00054313">
        <w:rPr>
          <w:rStyle w:val="SubtleEmphasis"/>
          <w:b w:val="0"/>
          <w:szCs w:val="18"/>
        </w:rPr>
        <w:t xml:space="preserve"> </w:t>
      </w:r>
      <w:proofErr w:type="spellStart"/>
      <w:r w:rsidRPr="00054313">
        <w:rPr>
          <w:rStyle w:val="SubtleEmphasis"/>
          <w:b w:val="0"/>
          <w:szCs w:val="18"/>
        </w:rPr>
        <w:t>Akuntansi</w:t>
      </w:r>
      <w:proofErr w:type="spellEnd"/>
      <w:r w:rsidRPr="00054313">
        <w:rPr>
          <w:rStyle w:val="SubtleEmphasis"/>
          <w:b w:val="0"/>
          <w:szCs w:val="18"/>
        </w:rPr>
        <w:t xml:space="preserve">, </w:t>
      </w:r>
      <w:proofErr w:type="spellStart"/>
      <w:r w:rsidRPr="00054313">
        <w:rPr>
          <w:rStyle w:val="SubtleEmphasis"/>
          <w:b w:val="0"/>
          <w:szCs w:val="18"/>
        </w:rPr>
        <w:t>Fakultas</w:t>
      </w:r>
      <w:proofErr w:type="spellEnd"/>
      <w:r w:rsidRPr="00054313">
        <w:rPr>
          <w:rStyle w:val="SubtleEmphasis"/>
          <w:b w:val="0"/>
          <w:szCs w:val="18"/>
        </w:rPr>
        <w:t xml:space="preserve"> </w:t>
      </w:r>
      <w:proofErr w:type="spellStart"/>
      <w:r w:rsidRPr="00054313">
        <w:rPr>
          <w:rStyle w:val="SubtleEmphasis"/>
          <w:b w:val="0"/>
          <w:szCs w:val="18"/>
        </w:rPr>
        <w:t>Ekonomi</w:t>
      </w:r>
      <w:proofErr w:type="spellEnd"/>
      <w:r w:rsidRPr="00054313">
        <w:rPr>
          <w:rStyle w:val="SubtleEmphasis"/>
          <w:b w:val="0"/>
          <w:szCs w:val="18"/>
        </w:rPr>
        <w:t xml:space="preserve"> dan </w:t>
      </w:r>
      <w:proofErr w:type="spellStart"/>
      <w:r w:rsidRPr="00054313">
        <w:rPr>
          <w:rStyle w:val="SubtleEmphasis"/>
          <w:b w:val="0"/>
          <w:szCs w:val="18"/>
        </w:rPr>
        <w:t>Bisnis</w:t>
      </w:r>
      <w:proofErr w:type="spellEnd"/>
      <w:r w:rsidRPr="00054313">
        <w:rPr>
          <w:rStyle w:val="SubtleEmphasis"/>
          <w:b w:val="0"/>
          <w:szCs w:val="18"/>
        </w:rPr>
        <w:t xml:space="preserve"> Islam, UIN </w:t>
      </w:r>
      <w:proofErr w:type="spellStart"/>
      <w:r w:rsidRPr="00054313">
        <w:rPr>
          <w:rStyle w:val="SubtleEmphasis"/>
          <w:b w:val="0"/>
          <w:szCs w:val="18"/>
        </w:rPr>
        <w:t>Sunan</w:t>
      </w:r>
      <w:proofErr w:type="spellEnd"/>
      <w:r w:rsidRPr="00054313">
        <w:rPr>
          <w:rStyle w:val="SubtleEmphasis"/>
          <w:b w:val="0"/>
          <w:szCs w:val="18"/>
        </w:rPr>
        <w:t xml:space="preserve"> </w:t>
      </w:r>
      <w:proofErr w:type="spellStart"/>
      <w:r w:rsidRPr="00054313">
        <w:rPr>
          <w:rStyle w:val="SubtleEmphasis"/>
          <w:b w:val="0"/>
          <w:szCs w:val="18"/>
        </w:rPr>
        <w:t>Ampel</w:t>
      </w:r>
      <w:proofErr w:type="spellEnd"/>
      <w:r w:rsidRPr="00054313">
        <w:rPr>
          <w:rStyle w:val="SubtleEmphasis"/>
          <w:b w:val="0"/>
          <w:szCs w:val="18"/>
        </w:rPr>
        <w:t xml:space="preserve"> Surabaya</w:t>
      </w:r>
    </w:p>
    <w:p w14:paraId="5F25B916" w14:textId="75AE24E6" w:rsidR="00DF0BEE" w:rsidRPr="00054313" w:rsidRDefault="00054313" w:rsidP="00054313">
      <w:pPr>
        <w:pStyle w:val="Subtitle"/>
        <w:spacing w:after="0"/>
        <w:rPr>
          <w:rStyle w:val="SubtleEmphasis"/>
          <w:b w:val="0"/>
          <w:szCs w:val="18"/>
        </w:rPr>
      </w:pPr>
      <w:hyperlink r:id="rId9" w:history="1">
        <w:r w:rsidRPr="00054313">
          <w:rPr>
            <w:rStyle w:val="Hyperlink"/>
            <w:b w:val="0"/>
            <w:sz w:val="18"/>
            <w:szCs w:val="18"/>
          </w:rPr>
          <w:t>luthfiaaak16@gmail.com</w:t>
        </w:r>
      </w:hyperlink>
      <w:r w:rsidR="00693C5F" w:rsidRPr="00054313">
        <w:rPr>
          <w:rStyle w:val="SubtleEmphasis"/>
          <w:b w:val="0"/>
          <w:szCs w:val="18"/>
        </w:rPr>
        <w:t>,</w:t>
      </w:r>
      <w:r w:rsidRPr="00054313">
        <w:rPr>
          <w:rStyle w:val="SubtleEmphasis"/>
          <w:b w:val="0"/>
          <w:szCs w:val="18"/>
        </w:rPr>
        <w:t xml:space="preserve"> </w:t>
      </w:r>
      <w:hyperlink r:id="rId10" w:history="1">
        <w:r w:rsidRPr="00054313">
          <w:rPr>
            <w:rStyle w:val="Hyperlink"/>
            <w:b w:val="0"/>
            <w:sz w:val="18"/>
            <w:szCs w:val="18"/>
          </w:rPr>
          <w:t>selvia.eka@uinsa.ac.id</w:t>
        </w:r>
      </w:hyperlink>
      <w:r w:rsidRPr="00054313">
        <w:rPr>
          <w:rStyle w:val="SubtleEmphasis"/>
          <w:b w:val="0"/>
          <w:szCs w:val="18"/>
        </w:rPr>
        <w:t xml:space="preserve"> </w:t>
      </w:r>
    </w:p>
    <w:p w14:paraId="276986FB" w14:textId="22E3B75A" w:rsidR="00B4120C" w:rsidRPr="00771CCE" w:rsidRDefault="00DF0BEE" w:rsidP="00054313">
      <w:pPr>
        <w:pStyle w:val="Heading1"/>
        <w:spacing w:after="0"/>
        <w:rPr>
          <w:i/>
          <w:iCs/>
        </w:rPr>
      </w:pPr>
      <w:r w:rsidRPr="006126CE">
        <w:rPr>
          <w:i/>
          <w:iCs/>
        </w:rPr>
        <w:t>Abstract</w:t>
      </w:r>
      <w:r w:rsidR="00B4120C" w:rsidRPr="00B4120C">
        <w:rPr>
          <w:i/>
          <w:iCs/>
          <w:sz w:val="18"/>
          <w:szCs w:val="18"/>
        </w:rPr>
        <w:t xml:space="preserve"> </w:t>
      </w:r>
    </w:p>
    <w:p w14:paraId="14023F08" w14:textId="0CE472D6" w:rsidR="00771CCE" w:rsidRPr="00054313" w:rsidRDefault="00771CCE" w:rsidP="00054313">
      <w:pPr>
        <w:spacing w:before="240" w:after="0"/>
        <w:rPr>
          <w:i/>
          <w:iCs/>
          <w:sz w:val="18"/>
          <w:szCs w:val="18"/>
          <w:lang w:val="en-ID"/>
        </w:rPr>
      </w:pPr>
      <w:r w:rsidRPr="00771CCE">
        <w:rPr>
          <w:i/>
          <w:iCs/>
          <w:sz w:val="18"/>
          <w:szCs w:val="18"/>
          <w:lang w:val="en-ID"/>
        </w:rPr>
        <w:t xml:space="preserve">This study aims to determine the differences in Abnormal Return and Trading Volume Activity before and after the </w:t>
      </w:r>
      <w:r w:rsidRPr="00054313">
        <w:rPr>
          <w:i/>
          <w:iCs/>
          <w:sz w:val="18"/>
          <w:szCs w:val="18"/>
          <w:lang w:val="en-ID"/>
        </w:rPr>
        <w:t xml:space="preserve">announcement of the BI Rate reduction in LQ-45 index banking companies. This study uses the event study method. This study uses secondary data, which is data obtained directly through intermediary media and is data obtained and recorded by another party or a second party. The data consists of documents and information in the form of daily stock prices and trading volumes that can be accessed through the official website of the Indonesia Stock Exchange and through </w:t>
      </w:r>
      <w:proofErr w:type="spellStart"/>
      <w:proofErr w:type="gramStart"/>
      <w:r w:rsidRPr="00054313">
        <w:rPr>
          <w:i/>
          <w:iCs/>
          <w:sz w:val="18"/>
          <w:szCs w:val="18"/>
          <w:lang w:val="en-ID"/>
        </w:rPr>
        <w:t>yahoo.finance.com.The</w:t>
      </w:r>
      <w:proofErr w:type="spellEnd"/>
      <w:proofErr w:type="gramEnd"/>
      <w:r w:rsidRPr="00054313">
        <w:rPr>
          <w:i/>
          <w:iCs/>
          <w:sz w:val="18"/>
          <w:szCs w:val="18"/>
          <w:lang w:val="en-ID"/>
        </w:rPr>
        <w:t xml:space="preserve"> event study method in this research is conducted in two main periods, namely the estimation period and the observation period. The observation period covers 11 trading days, consisting of five days before and five days after the event date (event window), while the estimation period spans 60 trading days starting from the sixth day before the event (H–6) until H–65. The estimation period is used to calculate the expected return, which serves as a benchmark to identify abnormal returns during the observation period. The normality of the data is tested using the Shapiro–Wilk test. If the data are normally distributed, the Paired Sample t-Test is used to examine mean differences before and after the event; otherwise, the Wilcoxon Signed Rank Test is applied. The results of the study show: (1) there is a significant difference in Abnormal Return before and after the announcement of the BI Rate reduction, and (2) there is a significant difference in Trading Volume Activity before and after the announcement of the BI Rate reduction.</w:t>
      </w:r>
    </w:p>
    <w:p w14:paraId="166C1EB2" w14:textId="5BF9AB67" w:rsidR="00B4120C" w:rsidRPr="00054313" w:rsidRDefault="00B4120C" w:rsidP="00054313">
      <w:pPr>
        <w:spacing w:before="240"/>
        <w:rPr>
          <w:i/>
          <w:iCs/>
          <w:sz w:val="18"/>
          <w:szCs w:val="18"/>
        </w:rPr>
      </w:pPr>
      <w:r w:rsidRPr="00054313">
        <w:rPr>
          <w:i/>
          <w:iCs/>
          <w:sz w:val="18"/>
          <w:szCs w:val="18"/>
        </w:rPr>
        <w:t xml:space="preserve">Keywords: Event </w:t>
      </w:r>
      <w:r w:rsidR="00054313" w:rsidRPr="00054313">
        <w:rPr>
          <w:i/>
          <w:iCs/>
          <w:sz w:val="18"/>
          <w:szCs w:val="18"/>
        </w:rPr>
        <w:t xml:space="preserve">Study, </w:t>
      </w:r>
      <w:r w:rsidRPr="00054313">
        <w:rPr>
          <w:i/>
          <w:iCs/>
          <w:sz w:val="18"/>
          <w:szCs w:val="18"/>
        </w:rPr>
        <w:t xml:space="preserve">Abnormal </w:t>
      </w:r>
      <w:r w:rsidR="00054313" w:rsidRPr="00054313">
        <w:rPr>
          <w:i/>
          <w:iCs/>
          <w:sz w:val="18"/>
          <w:szCs w:val="18"/>
        </w:rPr>
        <w:t xml:space="preserve">Return, </w:t>
      </w:r>
      <w:r w:rsidRPr="00054313">
        <w:rPr>
          <w:i/>
          <w:iCs/>
          <w:sz w:val="18"/>
          <w:szCs w:val="18"/>
        </w:rPr>
        <w:t xml:space="preserve">Trading </w:t>
      </w:r>
      <w:r w:rsidR="00054313" w:rsidRPr="00054313">
        <w:rPr>
          <w:i/>
          <w:iCs/>
          <w:sz w:val="18"/>
          <w:szCs w:val="18"/>
        </w:rPr>
        <w:t xml:space="preserve">Volume </w:t>
      </w:r>
      <w:r w:rsidRPr="00054313">
        <w:rPr>
          <w:i/>
          <w:iCs/>
          <w:sz w:val="18"/>
          <w:szCs w:val="18"/>
        </w:rPr>
        <w:t>Activity.</w:t>
      </w:r>
    </w:p>
    <w:p w14:paraId="6E5137CC" w14:textId="7355EB36" w:rsidR="00BD5748" w:rsidRPr="00054313" w:rsidRDefault="00BD5748" w:rsidP="00054313">
      <w:pPr>
        <w:spacing w:before="240"/>
        <w:sectPr w:rsidR="00BD5748" w:rsidRPr="00054313" w:rsidSect="0074541A">
          <w:headerReference w:type="default" r:id="rId11"/>
          <w:footerReference w:type="default" r:id="rId12"/>
          <w:footerReference w:type="first" r:id="rId13"/>
          <w:pgSz w:w="11906" w:h="16838" w:code="9"/>
          <w:pgMar w:top="1418" w:right="1418" w:bottom="1418" w:left="1418" w:header="709" w:footer="709" w:gutter="0"/>
          <w:cols w:space="720"/>
          <w:titlePg/>
          <w:docGrid w:linePitch="360"/>
        </w:sectPr>
      </w:pPr>
    </w:p>
    <w:p w14:paraId="1FA416F3" w14:textId="7439750F" w:rsidR="00DF0BEE" w:rsidRPr="008717E0" w:rsidRDefault="0065051F" w:rsidP="00054313">
      <w:pPr>
        <w:pStyle w:val="ListParagraph"/>
        <w:numPr>
          <w:ilvl w:val="0"/>
          <w:numId w:val="7"/>
        </w:numPr>
        <w:spacing w:before="240"/>
        <w:ind w:left="284" w:hanging="284"/>
        <w:rPr>
          <w:b/>
          <w:bCs/>
        </w:rPr>
      </w:pPr>
      <w:r w:rsidRPr="00CA2057">
        <w:rPr>
          <w:b/>
          <w:bCs/>
          <w:lang w:val="en"/>
        </w:rPr>
        <w:t>Introduction</w:t>
      </w:r>
      <w:r w:rsidR="00DF0BEE" w:rsidRPr="008717E0">
        <w:rPr>
          <w:b/>
          <w:bCs/>
        </w:rPr>
        <w:t xml:space="preserve"> </w:t>
      </w:r>
    </w:p>
    <w:p w14:paraId="518B8A6D" w14:textId="77777777" w:rsidR="00007E2E" w:rsidRPr="00007E2E" w:rsidRDefault="00007E2E" w:rsidP="00054313">
      <w:pPr>
        <w:rPr>
          <w:bCs/>
          <w:color w:val="000000"/>
          <w:szCs w:val="20"/>
          <w:lang w:val="id-ID"/>
        </w:rPr>
      </w:pPr>
      <w:r w:rsidRPr="00007E2E">
        <w:rPr>
          <w:bCs/>
          <w:color w:val="000000"/>
          <w:szCs w:val="20"/>
          <w:lang w:val="id-ID"/>
        </w:rPr>
        <w:t>By the end of 2024, the market capitalization of the Indonesia Stock Exchange (IDX) reached IDR 12,264 trillion, making it one of the largest capital markets in Southeast Asia (IDX, 2024). Of this amount, the financial sector contributed more than 35%, with the banking sector accounting for around 95% of this value, confirming its strategic role in the movement of the Composite Stock Price Index (IHSG). Capital market performance is directly influenced by monetary policy, particularly Bank Indonesia's benchmark interest rate (BI Rate), which serves as the main instrument in maintaining macroeconomic stability. Changes in the BI Rate are often seen as a strong signal for investors in assessing liquidity prospects and risks in the stock market, especially for banking stocks that are sensitive to interest rates (Rusadi &amp; Nugroho, 2024).</w:t>
      </w:r>
    </w:p>
    <w:p w14:paraId="714A6571" w14:textId="77777777" w:rsidR="00007E2E" w:rsidRPr="00007E2E" w:rsidRDefault="00007E2E" w:rsidP="00054313">
      <w:pPr>
        <w:rPr>
          <w:bCs/>
          <w:color w:val="000000"/>
          <w:szCs w:val="20"/>
          <w:lang w:val="id-ID"/>
        </w:rPr>
      </w:pPr>
      <w:r w:rsidRPr="00007E2E">
        <w:rPr>
          <w:bCs/>
          <w:color w:val="000000"/>
          <w:szCs w:val="20"/>
          <w:lang w:val="id-ID"/>
        </w:rPr>
        <w:t>The BI Rate is a monetary policy instrument that has a broad impact on capital costs, banking liquidity, and investment decisions. A decrease in the benchmark interest rate encourages banks to lower lending rates, thereby increasing credit, consumption, and investment. Conversely, an increase in interest rates raises funding costs, suppresses credit demand, and reduces investment interest. This transmission mechanism is then reflected in the capital market through changes in stock valuations, particularly in the banking sector. Previous studies have shown a close relationship between monetary policy and the stock market in Indonesia, reinforcing the relevance of the BI Rate as a key variable in the analysis (Martin Luter Purba et al., 2025).</w:t>
      </w:r>
    </w:p>
    <w:p w14:paraId="4E22904B" w14:textId="77777777" w:rsidR="00007E2E" w:rsidRPr="00007E2E" w:rsidRDefault="00007E2E" w:rsidP="00054313">
      <w:pPr>
        <w:rPr>
          <w:bCs/>
          <w:color w:val="000000"/>
          <w:szCs w:val="20"/>
          <w:lang w:val="id-ID"/>
        </w:rPr>
      </w:pPr>
      <w:r w:rsidRPr="00007E2E">
        <w:rPr>
          <w:bCs/>
          <w:color w:val="000000"/>
          <w:szCs w:val="20"/>
          <w:lang w:val="id-ID"/>
        </w:rPr>
        <w:t>The banking sector is highly sensitive to interest rate changes because its main source of income is net interest margin (Obeid, 2024). With its significant contribution to the LQ45 capitalization, this sector can be used as an ideal proxy to test how monetary policy affects the capital market. According to the semi-strong form of efficient market theory, stock prices should directly reflect public information, including monetary policy announcements (Fama, 1970). This means that if the market is efficient, changes in the BI Rate will be immediately reflected in stock prices.</w:t>
      </w:r>
    </w:p>
    <w:p w14:paraId="1F066AFC" w14:textId="77777777" w:rsidR="00007E2E" w:rsidRPr="00007E2E" w:rsidRDefault="00007E2E" w:rsidP="00054313">
      <w:pPr>
        <w:rPr>
          <w:bCs/>
          <w:color w:val="000000"/>
          <w:szCs w:val="20"/>
          <w:lang w:val="id-ID"/>
        </w:rPr>
      </w:pPr>
      <w:r w:rsidRPr="00007E2E">
        <w:rPr>
          <w:bCs/>
          <w:color w:val="000000"/>
          <w:szCs w:val="20"/>
          <w:lang w:val="id-ID"/>
        </w:rPr>
        <w:lastRenderedPageBreak/>
        <w:t xml:space="preserve">Signaling theory, as introduced by Spence (1973), emphasizes the role of information as a signal that can reduce information asymmetry between market participants. In the context of capital markets, information announced by authorities, such as monetary policy in the form of a BI Rate cut, is perceived by investors as an important signal that indicates credibility and future economic prospects. A reduction in the benchmark interest rate is generally viewed as a positive signal because it lowers funding costs, strengthens liquidity stability, and opens up opportunities for credit and investment growth, particularly in the banking sector, which is highly sensitive to interest rate changes. This makes LQ45 banking stocks the most affected, with the signal reflected in market reactions in the form of stock price changes, abnormal returns, and trading activity. </w:t>
      </w:r>
    </w:p>
    <w:p w14:paraId="0228EFE4" w14:textId="77777777" w:rsidR="00007E2E" w:rsidRDefault="00007E2E" w:rsidP="00054313">
      <w:pPr>
        <w:rPr>
          <w:bCs/>
          <w:color w:val="000000"/>
          <w:szCs w:val="20"/>
          <w:lang w:val="id-ID"/>
        </w:rPr>
      </w:pPr>
      <w:r w:rsidRPr="00007E2E">
        <w:rPr>
          <w:bCs/>
          <w:color w:val="000000"/>
          <w:szCs w:val="20"/>
          <w:lang w:val="id-ID"/>
        </w:rPr>
        <w:t>In May 2025, Bank Indonesia lowered the BI Rate by 25 basis points from 5.75% to 5.50%, in line with efforts to maintain macroeconomic stability amid the global slowdown. This policy is expected to lower funding costs, increase liquidity, and encourage banking credit growth. From an investor's perspective, the BI Rate cut could trigger positive expectations for banking stock returns (Oktavennica et al., 2025). However, on the other hand, this policy also has the potential to increase price volatility and trading activity due to differences in risk perception (Fatih &amp; Ismiyanti, 2016; Rahmi &amp; Jamal, 2019). This phenomenon shows that any change in monetary policy can cause market reactions that are reflected in price movements and trading activity in the capital market. Market reactions are investors' responses to information or events that affect stock prices in the capital market. To measure market reactions, the most commonly used method is event study, which is an approach that analyzes the impact of a particular event on stock performance within a certain period. Event studies provide an overview of whether certain information is considered relevant by investors by looking at changes in price, volume, and market volatility around the date of the event (Yadav, 1992).</w:t>
      </w:r>
      <w:bookmarkStart w:id="2" w:name="_Hlk67818193"/>
    </w:p>
    <w:p w14:paraId="0A9171E0" w14:textId="77777777" w:rsidR="00007E2E" w:rsidRDefault="00007E2E" w:rsidP="00054313">
      <w:pPr>
        <w:spacing w:after="0"/>
        <w:jc w:val="center"/>
        <w:rPr>
          <w:bCs/>
          <w:color w:val="000000"/>
          <w:szCs w:val="20"/>
          <w:lang w:val="id-ID"/>
        </w:rPr>
      </w:pPr>
      <w:r>
        <w:rPr>
          <w:noProof/>
        </w:rPr>
        <w:drawing>
          <wp:inline distT="0" distB="0" distL="0" distR="0" wp14:anchorId="5792C8C2" wp14:editId="352CA70C">
            <wp:extent cx="4202895" cy="2268154"/>
            <wp:effectExtent l="0" t="0" r="7620" b="0"/>
            <wp:docPr id="111348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745" name=""/>
                    <pic:cNvPicPr/>
                  </pic:nvPicPr>
                  <pic:blipFill rotWithShape="1">
                    <a:blip r:embed="rId14"/>
                    <a:srcRect l="8288" t="33988" r="37635" b="14109"/>
                    <a:stretch>
                      <a:fillRect/>
                    </a:stretch>
                  </pic:blipFill>
                  <pic:spPr bwMode="auto">
                    <a:xfrm>
                      <a:off x="0" y="0"/>
                      <a:ext cx="4238475" cy="2287355"/>
                    </a:xfrm>
                    <a:prstGeom prst="rect">
                      <a:avLst/>
                    </a:prstGeom>
                    <a:ln>
                      <a:noFill/>
                    </a:ln>
                    <a:extLst>
                      <a:ext uri="{53640926-AAD7-44D8-BBD7-CCE9431645EC}">
                        <a14:shadowObscured xmlns:a14="http://schemas.microsoft.com/office/drawing/2010/main"/>
                      </a:ext>
                    </a:extLst>
                  </pic:spPr>
                </pic:pic>
              </a:graphicData>
            </a:graphic>
          </wp:inline>
        </w:drawing>
      </w:r>
    </w:p>
    <w:p w14:paraId="08CA6509" w14:textId="77777777" w:rsidR="00007E2E" w:rsidRDefault="00007E2E" w:rsidP="00054313">
      <w:pPr>
        <w:spacing w:after="0"/>
        <w:jc w:val="center"/>
        <w:rPr>
          <w:bCs/>
          <w:color w:val="000000"/>
          <w:szCs w:val="20"/>
          <w:lang w:val="id-ID"/>
        </w:rPr>
      </w:pPr>
      <w:r>
        <w:rPr>
          <w:bCs/>
          <w:color w:val="000000"/>
          <w:szCs w:val="20"/>
          <w:lang w:val="id-ID"/>
        </w:rPr>
        <w:t>Source : Trading Economics, 2025</w:t>
      </w:r>
    </w:p>
    <w:p w14:paraId="331D6D5A" w14:textId="5A015899" w:rsidR="00007E2E" w:rsidRPr="00054313" w:rsidRDefault="00007E2E" w:rsidP="00054313">
      <w:pPr>
        <w:spacing w:after="120"/>
        <w:jc w:val="center"/>
        <w:rPr>
          <w:bCs/>
          <w:color w:val="000000"/>
          <w:szCs w:val="20"/>
          <w:lang w:val="id-ID"/>
        </w:rPr>
      </w:pPr>
      <w:r>
        <w:rPr>
          <w:bCs/>
          <w:color w:val="000000"/>
          <w:szCs w:val="20"/>
          <w:lang w:val="id-ID"/>
        </w:rPr>
        <w:t xml:space="preserve">Figure 1. </w:t>
      </w:r>
      <w:r w:rsidRPr="00007E2E">
        <w:rPr>
          <w:bCs/>
          <w:color w:val="000000"/>
          <w:szCs w:val="20"/>
          <w:lang w:val="id-ID"/>
        </w:rPr>
        <w:t>BI Rate during September 2023-2025</w:t>
      </w:r>
    </w:p>
    <w:p w14:paraId="7892DCF0" w14:textId="2A5251EB" w:rsidR="00007E2E" w:rsidRPr="00007E2E" w:rsidRDefault="00007E2E" w:rsidP="00054313">
      <w:pPr>
        <w:rPr>
          <w:bCs/>
          <w:color w:val="000000"/>
          <w:szCs w:val="20"/>
          <w:lang w:val="id-ID"/>
        </w:rPr>
      </w:pPr>
      <w:r w:rsidRPr="00007E2E">
        <w:rPr>
          <w:szCs w:val="20"/>
        </w:rPr>
        <w:t>One of the main measures in event studies is abnormal return, which is the difference between actual return and expected return. If information is considered important, it will generate abnormal returns, both positive and negative. Research shows that policy announcements or certain political events can generate significant abnormal returns, indicating a direct response from the market (</w:t>
      </w:r>
      <w:proofErr w:type="spellStart"/>
      <w:r w:rsidRPr="00007E2E">
        <w:rPr>
          <w:szCs w:val="20"/>
        </w:rPr>
        <w:t>Wahyuni</w:t>
      </w:r>
      <w:proofErr w:type="spellEnd"/>
      <w:r w:rsidRPr="00007E2E">
        <w:rPr>
          <w:szCs w:val="20"/>
        </w:rPr>
        <w:t xml:space="preserve"> &amp; </w:t>
      </w:r>
      <w:proofErr w:type="spellStart"/>
      <w:r w:rsidRPr="00007E2E">
        <w:rPr>
          <w:szCs w:val="20"/>
        </w:rPr>
        <w:t>Sukmaningrum</w:t>
      </w:r>
      <w:proofErr w:type="spellEnd"/>
      <w:r w:rsidRPr="00007E2E">
        <w:rPr>
          <w:szCs w:val="20"/>
        </w:rPr>
        <w:t>, 2019). In addition, trading volume activity is also important, because an increase in volume reflects changes in investor interest and buying and selling decisions regarding a particular stock. Humaira et al. (2022) found that high stock trading volume indicates that the stock is actively traded and in demand by investors, while low volume reflects a lack of interest and has the potential to reduce liquidity.</w:t>
      </w:r>
    </w:p>
    <w:p w14:paraId="3532D9CD" w14:textId="77777777" w:rsidR="00007E2E" w:rsidRPr="00007E2E" w:rsidRDefault="00007E2E" w:rsidP="00054313">
      <w:pPr>
        <w:rPr>
          <w:szCs w:val="20"/>
        </w:rPr>
      </w:pPr>
      <w:r w:rsidRPr="00007E2E">
        <w:rPr>
          <w:szCs w:val="20"/>
        </w:rPr>
        <w:t>Research on the impact of BI rate reductions on abnormal returns and trading volume activity still shows inconsistent results, creating a research gap. Several studies have found that changes in BI interest rates trigger significant reactions in the capital market, both in terms of abnormal returns and trading volume activity (</w:t>
      </w:r>
      <w:proofErr w:type="spellStart"/>
      <w:r w:rsidRPr="00007E2E">
        <w:rPr>
          <w:szCs w:val="20"/>
        </w:rPr>
        <w:t>Fajarwati</w:t>
      </w:r>
      <w:proofErr w:type="spellEnd"/>
      <w:r w:rsidRPr="00007E2E">
        <w:rPr>
          <w:szCs w:val="20"/>
        </w:rPr>
        <w:t xml:space="preserve"> &amp; </w:t>
      </w:r>
      <w:proofErr w:type="spellStart"/>
      <w:r w:rsidRPr="00007E2E">
        <w:rPr>
          <w:szCs w:val="20"/>
        </w:rPr>
        <w:t>Nurasik</w:t>
      </w:r>
      <w:proofErr w:type="spellEnd"/>
      <w:r w:rsidRPr="00007E2E">
        <w:rPr>
          <w:szCs w:val="20"/>
        </w:rPr>
        <w:t>, 2021). However, there are also studies that state that the decline in the BI rate does not have a significant effect on either abnormal returns or trading volume activity, because external factors such as the global crisis dominate investor psychology (</w:t>
      </w:r>
      <w:proofErr w:type="spellStart"/>
      <w:r w:rsidRPr="00007E2E">
        <w:rPr>
          <w:szCs w:val="20"/>
        </w:rPr>
        <w:t>Sumantyo</w:t>
      </w:r>
      <w:proofErr w:type="spellEnd"/>
      <w:r w:rsidRPr="00007E2E">
        <w:rPr>
          <w:szCs w:val="20"/>
        </w:rPr>
        <w:t xml:space="preserve"> &amp; </w:t>
      </w:r>
      <w:proofErr w:type="spellStart"/>
      <w:r w:rsidRPr="00007E2E">
        <w:rPr>
          <w:szCs w:val="20"/>
        </w:rPr>
        <w:t>Anggraeni</w:t>
      </w:r>
      <w:proofErr w:type="spellEnd"/>
      <w:r w:rsidRPr="00007E2E">
        <w:rPr>
          <w:szCs w:val="20"/>
        </w:rPr>
        <w:t>, 2016). Different results are also seen in other studies that found market reactions in the form of abnormal returns but not followed by significant changes in trading volume (</w:t>
      </w:r>
      <w:proofErr w:type="spellStart"/>
      <w:r w:rsidRPr="00007E2E">
        <w:rPr>
          <w:szCs w:val="20"/>
        </w:rPr>
        <w:t>Cahyaningdyah</w:t>
      </w:r>
      <w:proofErr w:type="spellEnd"/>
      <w:r w:rsidRPr="00007E2E">
        <w:rPr>
          <w:szCs w:val="20"/>
        </w:rPr>
        <w:t xml:space="preserve"> &amp; </w:t>
      </w:r>
      <w:proofErr w:type="spellStart"/>
      <w:r w:rsidRPr="00007E2E">
        <w:rPr>
          <w:szCs w:val="20"/>
        </w:rPr>
        <w:t>Cahyasani</w:t>
      </w:r>
      <w:proofErr w:type="spellEnd"/>
      <w:r w:rsidRPr="00007E2E">
        <w:rPr>
          <w:szCs w:val="20"/>
        </w:rPr>
        <w:t xml:space="preserve">, 2017). These differing findings confirm that the relationship between BI rate cuts, </w:t>
      </w:r>
      <w:r w:rsidRPr="00007E2E">
        <w:rPr>
          <w:szCs w:val="20"/>
        </w:rPr>
        <w:lastRenderedPageBreak/>
        <w:t>abnormal returns, and trading volume activity is still inconsistent, requiring further research to clarify the market mechanism in responding to such monetary policy.</w:t>
      </w:r>
    </w:p>
    <w:p w14:paraId="055C1CA5" w14:textId="0A6CA5E4" w:rsidR="00007E2E" w:rsidRPr="00007E2E" w:rsidRDefault="00007E2E" w:rsidP="00054313">
      <w:pPr>
        <w:rPr>
          <w:szCs w:val="20"/>
        </w:rPr>
      </w:pPr>
      <w:r w:rsidRPr="00007E2E">
        <w:rPr>
          <w:szCs w:val="20"/>
        </w:rPr>
        <w:t>Based on the above description, this study aims to analyze the response of the Indonesian capital market to the announcement of a BI rate cut, focusing on LQ45 banking sector stocks. Specifically, this study tests several key indicators, namely abnormal returns and trading volume activity. Thus, the following hypothesis is proposed: H1: There is a significant difference in abnormal returns before and after the announcement of the BI rate cut for companies included in the LQ-45 Index listed on the Indonesia Stock Exchange (IDX). H2: There is a significant difference in abnormal trading volume activity before and after the announcement of the BI rate reduction in companies included in the LQ-45 Index listed on the Indonesia Stock Exchange (IDX).</w:t>
      </w:r>
    </w:p>
    <w:bookmarkEnd w:id="2"/>
    <w:p w14:paraId="1EB8D7AF" w14:textId="76C10198" w:rsidR="00FD5205" w:rsidRPr="00054313" w:rsidRDefault="00FD5205" w:rsidP="00054313">
      <w:pPr>
        <w:pStyle w:val="ListParagraph"/>
        <w:numPr>
          <w:ilvl w:val="0"/>
          <w:numId w:val="7"/>
        </w:numPr>
        <w:spacing w:before="240"/>
        <w:ind w:left="284" w:hanging="284"/>
        <w:rPr>
          <w:b/>
          <w:bCs/>
          <w:lang w:val="en"/>
        </w:rPr>
      </w:pPr>
      <w:r w:rsidRPr="00054313">
        <w:rPr>
          <w:b/>
          <w:bCs/>
          <w:lang w:val="en"/>
        </w:rPr>
        <w:t>Research Methods</w:t>
      </w:r>
    </w:p>
    <w:p w14:paraId="1FD247E2" w14:textId="063FE92B" w:rsidR="00007E2E" w:rsidRPr="00054313" w:rsidRDefault="00007E2E" w:rsidP="00054313">
      <w:pPr>
        <w:spacing w:after="120"/>
        <w:rPr>
          <w:rFonts w:asciiTheme="majorBidi" w:hAnsiTheme="majorBidi" w:cstheme="majorBidi"/>
          <w:b/>
          <w:bCs/>
          <w:sz w:val="24"/>
          <w:szCs w:val="24"/>
        </w:rPr>
      </w:pPr>
      <w:r w:rsidRPr="00054313">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5E817FCC" wp14:editId="24E63B7F">
                <wp:simplePos x="0" y="0"/>
                <wp:positionH relativeFrom="margin">
                  <wp:posOffset>3899853</wp:posOffset>
                </wp:positionH>
                <wp:positionV relativeFrom="paragraph">
                  <wp:posOffset>735965</wp:posOffset>
                </wp:positionV>
                <wp:extent cx="595630" cy="1875305"/>
                <wp:effectExtent l="7937" t="0" r="21908" b="21907"/>
                <wp:wrapNone/>
                <wp:docPr id="1239438662" name="Right Brace 16"/>
                <wp:cNvGraphicFramePr/>
                <a:graphic xmlns:a="http://schemas.openxmlformats.org/drawingml/2006/main">
                  <a:graphicData uri="http://schemas.microsoft.com/office/word/2010/wordprocessingShape">
                    <wps:wsp>
                      <wps:cNvSpPr/>
                      <wps:spPr>
                        <a:xfrm rot="16200000">
                          <a:off x="0" y="0"/>
                          <a:ext cx="595630" cy="187530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D2527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307.1pt;margin-top:57.95pt;width:46.9pt;height:147.65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" adj="572" strokecolor="black [3213]">
                <w10:wrap anchorx="margin"/>
              </v:shape>
            </w:pict>
          </mc:Fallback>
        </mc:AlternateContent>
      </w:r>
      <w:r w:rsidRPr="00054313">
        <w:rPr>
          <w:rFonts w:asciiTheme="majorBidi" w:hAnsiTheme="majorBidi" w:cstheme="majorBidi"/>
          <w:b/>
          <w:bCs/>
          <w:noProof/>
          <w:sz w:val="24"/>
          <w:szCs w:val="24"/>
        </w:rPr>
        <mc:AlternateContent>
          <mc:Choice Requires="wps">
            <w:drawing>
              <wp:anchor distT="0" distB="0" distL="114300" distR="114300" simplePos="0" relativeHeight="251668480" behindDoc="0" locked="0" layoutInCell="1" allowOverlap="1" wp14:anchorId="6780D0C3" wp14:editId="6BA2D1F3">
                <wp:simplePos x="0" y="0"/>
                <wp:positionH relativeFrom="margin">
                  <wp:posOffset>1335406</wp:posOffset>
                </wp:positionH>
                <wp:positionV relativeFrom="paragraph">
                  <wp:posOffset>44132</wp:posOffset>
                </wp:positionV>
                <wp:extent cx="595630" cy="3245719"/>
                <wp:effectExtent l="8572" t="0" r="22543" b="22542"/>
                <wp:wrapNone/>
                <wp:docPr id="108816534" name="Right Brace 16"/>
                <wp:cNvGraphicFramePr/>
                <a:graphic xmlns:a="http://schemas.openxmlformats.org/drawingml/2006/main">
                  <a:graphicData uri="http://schemas.microsoft.com/office/word/2010/wordprocessingShape">
                    <wps:wsp>
                      <wps:cNvSpPr/>
                      <wps:spPr>
                        <a:xfrm rot="16200000">
                          <a:off x="0" y="0"/>
                          <a:ext cx="595630" cy="324571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DC385EB" id="Right Brace 16" o:spid="_x0000_s1026" type="#_x0000_t88" style="position:absolute;margin-left:105.15pt;margin-top:3.45pt;width:46.9pt;height:255.5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" adj="330" strokecolor="black [3213]">
                <w10:wrap anchorx="margin"/>
              </v:shape>
            </w:pict>
          </mc:Fallback>
        </mc:AlternateContent>
      </w:r>
      <w:r w:rsidRPr="00054313">
        <w:rPr>
          <w:lang w:val="id-ID"/>
        </w:rPr>
        <w:t>This study uses a quantitative research method, with the population being banking companies listed on the Indonesia Stock Exchange, particularly those included in the LQ45 index. This study uses an event study approach, which was chosen because it is able to measure the capital market's reaction to a particular event through changes in stock prices and trading activity. In this study, the event period was set at 11 days, from t-5 to t+5, with t as the day the event occurred. In addition, an estimation period of 60 days was used, from t-6 to t-65, to estimate the normal return on shares before the event occurred.</w:t>
      </w:r>
      <w:r w:rsidRPr="00054313">
        <w:rPr>
          <w:rFonts w:asciiTheme="majorBidi" w:hAnsiTheme="majorBidi" w:cstheme="majorBidi"/>
          <w:b/>
          <w:bCs/>
          <w:sz w:val="24"/>
          <w:szCs w:val="24"/>
        </w:rPr>
        <w:t xml:space="preserve"> </w:t>
      </w:r>
    </w:p>
    <w:p w14:paraId="611C61E5" w14:textId="77777777" w:rsidR="00007E2E" w:rsidRPr="00054313" w:rsidRDefault="00007E2E" w:rsidP="00054313">
      <w:pPr>
        <w:rPr>
          <w:rFonts w:asciiTheme="majorBidi" w:hAnsiTheme="majorBidi" w:cstheme="majorBidi"/>
          <w:b/>
          <w:bCs/>
          <w:sz w:val="24"/>
          <w:szCs w:val="24"/>
        </w:rPr>
      </w:pPr>
      <w:r w:rsidRPr="00054313">
        <w:rPr>
          <w:rFonts w:asciiTheme="majorBidi" w:hAnsiTheme="majorBidi" w:cstheme="majorBidi"/>
          <w:b/>
          <w:bCs/>
          <w:noProof/>
          <w:sz w:val="24"/>
          <w:szCs w:val="24"/>
        </w:rPr>
        <mc:AlternateContent>
          <mc:Choice Requires="wps">
            <w:drawing>
              <wp:anchor distT="45720" distB="45720" distL="114300" distR="114300" simplePos="0" relativeHeight="251679744" behindDoc="0" locked="0" layoutInCell="1" allowOverlap="1" wp14:anchorId="64D72AB9" wp14:editId="2D8EE861">
                <wp:simplePos x="0" y="0"/>
                <wp:positionH relativeFrom="margin">
                  <wp:posOffset>1105535</wp:posOffset>
                </wp:positionH>
                <wp:positionV relativeFrom="paragraph">
                  <wp:posOffset>13335</wp:posOffset>
                </wp:positionV>
                <wp:extent cx="4008120" cy="287020"/>
                <wp:effectExtent l="0" t="0" r="0" b="0"/>
                <wp:wrapSquare wrapText="bothSides"/>
                <wp:docPr id="1211958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287020"/>
                        </a:xfrm>
                        <a:prstGeom prst="rect">
                          <a:avLst/>
                        </a:prstGeom>
                        <a:solidFill>
                          <a:srgbClr val="FFFFFF"/>
                        </a:solidFill>
                        <a:ln w="9525">
                          <a:noFill/>
                          <a:miter lim="800000"/>
                          <a:headEnd/>
                          <a:tailEnd/>
                        </a:ln>
                      </wps:spPr>
                      <wps:txbx>
                        <w:txbxContent>
                          <w:p w14:paraId="608375E8" w14:textId="77777777" w:rsidR="00007E2E" w:rsidRPr="00207C89" w:rsidRDefault="00007E2E" w:rsidP="00007E2E">
                            <w:pPr>
                              <w:rPr>
                                <w:rFonts w:asciiTheme="majorBidi" w:hAnsiTheme="majorBidi" w:cstheme="majorBidi"/>
                                <w:sz w:val="24"/>
                                <w:szCs w:val="24"/>
                              </w:rPr>
                            </w:pPr>
                            <w:r>
                              <w:rPr>
                                <w:rFonts w:asciiTheme="majorBidi" w:hAnsiTheme="majorBidi" w:cstheme="majorBidi"/>
                                <w:sz w:val="24"/>
                                <w:szCs w:val="24"/>
                              </w:rPr>
                              <w:t>Estimation Period</w:t>
                            </w:r>
                            <w:r w:rsidRPr="00207C89">
                              <w:rPr>
                                <w:rFonts w:asciiTheme="majorBidi" w:hAnsiTheme="majorBidi" w:cstheme="majorBidi"/>
                                <w:sz w:val="24"/>
                                <w:szCs w:val="24"/>
                              </w:rPr>
                              <w:tab/>
                            </w:r>
                            <w:r w:rsidRPr="00207C89">
                              <w:rPr>
                                <w:rFonts w:asciiTheme="majorBidi" w:hAnsiTheme="majorBidi" w:cstheme="majorBidi"/>
                                <w:sz w:val="24"/>
                                <w:szCs w:val="24"/>
                              </w:rPr>
                              <w:tab/>
                            </w:r>
                            <w:r w:rsidRPr="00207C89">
                              <w:rPr>
                                <w:rFonts w:asciiTheme="majorBidi" w:hAnsiTheme="majorBidi" w:cstheme="majorBidi"/>
                                <w:sz w:val="24"/>
                                <w:szCs w:val="24"/>
                              </w:rPr>
                              <w:tab/>
                              <w:t xml:space="preserve">        </w:t>
                            </w:r>
                            <w:r>
                              <w:rPr>
                                <w:rFonts w:asciiTheme="majorBidi" w:hAnsiTheme="majorBidi" w:cstheme="majorBidi"/>
                                <w:sz w:val="24"/>
                                <w:szCs w:val="24"/>
                              </w:rPr>
                              <w:t>Event Period</w:t>
                            </w:r>
                            <w:r w:rsidRPr="00207C89">
                              <w:rPr>
                                <w:rFonts w:asciiTheme="majorBidi" w:hAnsiTheme="majorBidi" w:cstheme="majorBid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D72AB9" id="_x0000_t202" coordsize="21600,21600" o:spt="202" path="m,l,21600r21600,l21600,xe">
                <v:stroke joinstyle="miter"/>
                <v:path gradientshapeok="t" o:connecttype="rect"/>
              </v:shapetype>
              <v:shape id="Text Box 2" o:spid="_x0000_s1026" type="#_x0000_t202" style="position:absolute;left:0;text-align:left;margin-left:87.05pt;margin-top:1.05pt;width:315.6pt;height:22.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" stroked="f">
                <v:textbox>
                  <w:txbxContent>
                    <w:p w14:paraId="608375E8" w14:textId="77777777" w:rsidR="00007E2E" w:rsidRPr="00207C89" w:rsidRDefault="00007E2E" w:rsidP="00007E2E">
                      <w:pPr>
                        <w:rPr>
                          <w:rFonts w:asciiTheme="majorBidi" w:hAnsiTheme="majorBidi" w:cstheme="majorBidi"/>
                          <w:sz w:val="24"/>
                          <w:szCs w:val="24"/>
                        </w:rPr>
                      </w:pPr>
                      <w:r>
                        <w:rPr>
                          <w:rFonts w:asciiTheme="majorBidi" w:hAnsiTheme="majorBidi" w:cstheme="majorBidi"/>
                          <w:sz w:val="24"/>
                          <w:szCs w:val="24"/>
                        </w:rPr>
                        <w:t>Estimation Period</w:t>
                      </w:r>
                      <w:r w:rsidRPr="00207C89">
                        <w:rPr>
                          <w:rFonts w:asciiTheme="majorBidi" w:hAnsiTheme="majorBidi" w:cstheme="majorBidi"/>
                          <w:sz w:val="24"/>
                          <w:szCs w:val="24"/>
                        </w:rPr>
                        <w:tab/>
                      </w:r>
                      <w:r w:rsidRPr="00207C89">
                        <w:rPr>
                          <w:rFonts w:asciiTheme="majorBidi" w:hAnsiTheme="majorBidi" w:cstheme="majorBidi"/>
                          <w:sz w:val="24"/>
                          <w:szCs w:val="24"/>
                        </w:rPr>
                        <w:tab/>
                      </w:r>
                      <w:r w:rsidRPr="00207C89">
                        <w:rPr>
                          <w:rFonts w:asciiTheme="majorBidi" w:hAnsiTheme="majorBidi" w:cstheme="majorBidi"/>
                          <w:sz w:val="24"/>
                          <w:szCs w:val="24"/>
                        </w:rPr>
                        <w:tab/>
                        <w:t xml:space="preserve">        </w:t>
                      </w:r>
                      <w:r>
                        <w:rPr>
                          <w:rFonts w:asciiTheme="majorBidi" w:hAnsiTheme="majorBidi" w:cstheme="majorBidi"/>
                          <w:sz w:val="24"/>
                          <w:szCs w:val="24"/>
                        </w:rPr>
                        <w:t>Event Period</w:t>
                      </w:r>
                      <w:r w:rsidRPr="00207C89">
                        <w:rPr>
                          <w:rFonts w:asciiTheme="majorBidi" w:hAnsiTheme="majorBidi" w:cstheme="majorBidi"/>
                          <w:sz w:val="24"/>
                          <w:szCs w:val="24"/>
                        </w:rPr>
                        <w:t xml:space="preserve"> </w:t>
                      </w:r>
                    </w:p>
                  </w:txbxContent>
                </v:textbox>
                <w10:wrap type="square" anchorx="margin"/>
              </v:shape>
            </w:pict>
          </mc:Fallback>
        </mc:AlternateContent>
      </w:r>
    </w:p>
    <w:p w14:paraId="18E48242" w14:textId="77777777" w:rsidR="00007E2E" w:rsidRDefault="00007E2E" w:rsidP="00054313">
      <w:pP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4624" behindDoc="0" locked="0" layoutInCell="1" allowOverlap="1" wp14:anchorId="5E759DAA" wp14:editId="612E6716">
                <wp:simplePos x="0" y="0"/>
                <wp:positionH relativeFrom="column">
                  <wp:posOffset>4202105</wp:posOffset>
                </wp:positionH>
                <wp:positionV relativeFrom="paragraph">
                  <wp:posOffset>172720</wp:posOffset>
                </wp:positionV>
                <wp:extent cx="0" cy="488950"/>
                <wp:effectExtent l="0" t="0" r="38100" b="25400"/>
                <wp:wrapNone/>
                <wp:docPr id="1966148883" name="Straight Connector 7"/>
                <wp:cNvGraphicFramePr/>
                <a:graphic xmlns:a="http://schemas.openxmlformats.org/drawingml/2006/main">
                  <a:graphicData uri="http://schemas.microsoft.com/office/word/2010/wordprocessingShape">
                    <wps:wsp>
                      <wps:cNvCnPr/>
                      <wps:spPr>
                        <a:xfrm>
                          <a:off x="0" y="0"/>
                          <a:ext cx="0"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A8814F6"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85pt,13.6pt" to="330.8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" strokecolor="black [3213]"/>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6672" behindDoc="0" locked="0" layoutInCell="1" allowOverlap="1" wp14:anchorId="4C359926" wp14:editId="3F411EB2">
                <wp:simplePos x="0" y="0"/>
                <wp:positionH relativeFrom="column">
                  <wp:posOffset>3253563</wp:posOffset>
                </wp:positionH>
                <wp:positionV relativeFrom="paragraph">
                  <wp:posOffset>166355</wp:posOffset>
                </wp:positionV>
                <wp:extent cx="0" cy="489098"/>
                <wp:effectExtent l="0" t="0" r="38100" b="25400"/>
                <wp:wrapNone/>
                <wp:docPr id="1558790799" name="Straight Connector 7"/>
                <wp:cNvGraphicFramePr/>
                <a:graphic xmlns:a="http://schemas.openxmlformats.org/drawingml/2006/main">
                  <a:graphicData uri="http://schemas.microsoft.com/office/word/2010/wordprocessingShape">
                    <wps:wsp>
                      <wps:cNvCnPr/>
                      <wps:spPr>
                        <a:xfrm>
                          <a:off x="0" y="0"/>
                          <a:ext cx="0" cy="489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CF037FA" id="Straight Connector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56.2pt,13.1pt" to="256.2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" strokecolor="black [3213]"/>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5648" behindDoc="0" locked="0" layoutInCell="1" allowOverlap="1" wp14:anchorId="40436EFA" wp14:editId="76053E44">
                <wp:simplePos x="0" y="0"/>
                <wp:positionH relativeFrom="margin">
                  <wp:align>left</wp:align>
                </wp:positionH>
                <wp:positionV relativeFrom="paragraph">
                  <wp:posOffset>173237</wp:posOffset>
                </wp:positionV>
                <wp:extent cx="0" cy="489098"/>
                <wp:effectExtent l="0" t="0" r="38100" b="25400"/>
                <wp:wrapNone/>
                <wp:docPr id="195382158" name="Straight Connector 7"/>
                <wp:cNvGraphicFramePr/>
                <a:graphic xmlns:a="http://schemas.openxmlformats.org/drawingml/2006/main">
                  <a:graphicData uri="http://schemas.microsoft.com/office/word/2010/wordprocessingShape">
                    <wps:wsp>
                      <wps:cNvCnPr/>
                      <wps:spPr>
                        <a:xfrm>
                          <a:off x="0" y="0"/>
                          <a:ext cx="0" cy="489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FD6BAA4" id="Straight Connector 7" o:spid="_x0000_s1026" style="position:absolute;z-index:251675648;visibility:visible;mso-wrap-style:square;mso-wrap-distance-left:9pt;mso-wrap-distance-top:0;mso-wrap-distance-right:9pt;mso-wrap-distance-bottom:0;mso-position-horizontal:left;mso-position-horizontal-relative:margin;mso-position-vertical:absolute;mso-position-vertical-relative:text" from="0,13.65pt" to="0,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" strokecolor="black [3213]">
                <w10:wrap anchorx="margin"/>
              </v:line>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3600" behindDoc="0" locked="0" layoutInCell="1" allowOverlap="1" wp14:anchorId="4232A18D" wp14:editId="2B6C78F6">
                <wp:simplePos x="0" y="0"/>
                <wp:positionH relativeFrom="column">
                  <wp:posOffset>5134610</wp:posOffset>
                </wp:positionH>
                <wp:positionV relativeFrom="paragraph">
                  <wp:posOffset>170018</wp:posOffset>
                </wp:positionV>
                <wp:extent cx="0" cy="489098"/>
                <wp:effectExtent l="0" t="0" r="38100" b="25400"/>
                <wp:wrapNone/>
                <wp:docPr id="438378955" name="Straight Connector 7"/>
                <wp:cNvGraphicFramePr/>
                <a:graphic xmlns:a="http://schemas.openxmlformats.org/drawingml/2006/main">
                  <a:graphicData uri="http://schemas.microsoft.com/office/word/2010/wordprocessingShape">
                    <wps:wsp>
                      <wps:cNvCnPr/>
                      <wps:spPr>
                        <a:xfrm>
                          <a:off x="0" y="0"/>
                          <a:ext cx="0" cy="489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381ED72"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4.3pt,13.4pt" to="404.3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" strokecolor="black [3213]"/>
            </w:pict>
          </mc:Fallback>
        </mc:AlternateContent>
      </w:r>
    </w:p>
    <w:p w14:paraId="1165DF51" w14:textId="77777777" w:rsidR="00007E2E" w:rsidRDefault="00007E2E" w:rsidP="00054313">
      <w:pPr>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2576" behindDoc="0" locked="0" layoutInCell="1" allowOverlap="1" wp14:anchorId="7B694DEE" wp14:editId="11DF9821">
                <wp:simplePos x="0" y="0"/>
                <wp:positionH relativeFrom="column">
                  <wp:posOffset>10632</wp:posOffset>
                </wp:positionH>
                <wp:positionV relativeFrom="paragraph">
                  <wp:posOffset>91942</wp:posOffset>
                </wp:positionV>
                <wp:extent cx="5124893" cy="21265"/>
                <wp:effectExtent l="0" t="0" r="19050" b="36195"/>
                <wp:wrapNone/>
                <wp:docPr id="66647184" name="Straight Connector 6"/>
                <wp:cNvGraphicFramePr/>
                <a:graphic xmlns:a="http://schemas.openxmlformats.org/drawingml/2006/main">
                  <a:graphicData uri="http://schemas.microsoft.com/office/word/2010/wordprocessingShape">
                    <wps:wsp>
                      <wps:cNvCnPr/>
                      <wps:spPr>
                        <a:xfrm flipV="1">
                          <a:off x="0" y="0"/>
                          <a:ext cx="5124893" cy="212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3ED5373" id="Straight Connector 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85pt,7.25pt" to="404.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" strokecolor="black [3213]"/>
            </w:pict>
          </mc:Fallback>
        </mc:AlternateContent>
      </w:r>
    </w:p>
    <w:p w14:paraId="16EAABD2" w14:textId="5CE0CF0A" w:rsidR="00007E2E" w:rsidRDefault="00007E2E" w:rsidP="00054313">
      <w:pPr>
        <w:rPr>
          <w:rFonts w:asciiTheme="majorBidi" w:hAnsiTheme="majorBidi" w:cstheme="majorBidi"/>
          <w:b/>
          <w:bCs/>
          <w:sz w:val="24"/>
          <w:szCs w:val="24"/>
        </w:rPr>
      </w:pPr>
      <w:r w:rsidRPr="00DA52CA">
        <w:rPr>
          <w:rFonts w:asciiTheme="majorBidi" w:hAnsiTheme="majorBidi" w:cstheme="majorBidi"/>
          <w:b/>
          <w:bCs/>
          <w:noProof/>
          <w:sz w:val="24"/>
          <w:szCs w:val="24"/>
        </w:rPr>
        <mc:AlternateContent>
          <mc:Choice Requires="wps">
            <w:drawing>
              <wp:anchor distT="45720" distB="45720" distL="114300" distR="114300" simplePos="0" relativeHeight="251678720" behindDoc="0" locked="0" layoutInCell="1" allowOverlap="1" wp14:anchorId="49DBD66C" wp14:editId="11BDBC10">
                <wp:simplePos x="0" y="0"/>
                <wp:positionH relativeFrom="column">
                  <wp:posOffset>2860040</wp:posOffset>
                </wp:positionH>
                <wp:positionV relativeFrom="paragraph">
                  <wp:posOffset>96520</wp:posOffset>
                </wp:positionV>
                <wp:extent cx="2615565" cy="287020"/>
                <wp:effectExtent l="0" t="0" r="0" b="0"/>
                <wp:wrapSquare wrapText="bothSides"/>
                <wp:docPr id="1798416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87020"/>
                        </a:xfrm>
                        <a:prstGeom prst="rect">
                          <a:avLst/>
                        </a:prstGeom>
                        <a:solidFill>
                          <a:srgbClr val="FFFFFF"/>
                        </a:solidFill>
                        <a:ln w="9525">
                          <a:noFill/>
                          <a:miter lim="800000"/>
                          <a:headEnd/>
                          <a:tailEnd/>
                        </a:ln>
                      </wps:spPr>
                      <wps:txbx>
                        <w:txbxContent>
                          <w:p w14:paraId="2E4F31DB" w14:textId="77777777" w:rsidR="00007E2E" w:rsidRPr="00207C89" w:rsidRDefault="00007E2E" w:rsidP="00007E2E">
                            <w:pPr>
                              <w:rPr>
                                <w:rFonts w:asciiTheme="majorBidi" w:hAnsiTheme="majorBidi" w:cstheme="majorBidi"/>
                                <w:sz w:val="24"/>
                                <w:szCs w:val="24"/>
                              </w:rPr>
                            </w:pPr>
                            <w:r w:rsidRPr="00207C89">
                              <w:rPr>
                                <w:rFonts w:asciiTheme="majorBidi" w:hAnsiTheme="majorBidi" w:cstheme="majorBidi"/>
                                <w:sz w:val="24"/>
                                <w:szCs w:val="24"/>
                              </w:rPr>
                              <w:t>t-6         t-5</w:t>
                            </w:r>
                            <w:r w:rsidRPr="00207C89">
                              <w:rPr>
                                <w:rFonts w:asciiTheme="majorBidi" w:hAnsiTheme="majorBidi" w:cstheme="majorBidi"/>
                                <w:sz w:val="24"/>
                                <w:szCs w:val="24"/>
                              </w:rPr>
                              <w:tab/>
                              <w:t xml:space="preserve">       t-0</w:t>
                            </w:r>
                            <w:r w:rsidRPr="00207C89">
                              <w:rPr>
                                <w:rFonts w:asciiTheme="majorBidi" w:hAnsiTheme="majorBidi" w:cstheme="majorBidi"/>
                                <w:sz w:val="24"/>
                                <w:szCs w:val="24"/>
                              </w:rPr>
                              <w:tab/>
                              <w:t xml:space="preserve">                   t+5</w:t>
                            </w:r>
                            <w:r w:rsidRPr="00207C89">
                              <w:rPr>
                                <w:rFonts w:asciiTheme="majorBidi" w:hAnsiTheme="majorBidi" w:cstheme="majorBidi"/>
                                <w:sz w:val="24"/>
                                <w:szCs w:val="24"/>
                              </w:rPr>
                              <w:tab/>
                            </w:r>
                            <w:r w:rsidRPr="00207C89">
                              <w:rPr>
                                <w:rFonts w:asciiTheme="majorBidi" w:hAnsiTheme="majorBidi" w:cstheme="majorBidi"/>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DBD66C" id="_x0000_s1027" type="#_x0000_t202" style="position:absolute;left:0;text-align:left;margin-left:225.2pt;margin-top:7.6pt;width:205.95pt;height:22.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" stroked="f">
                <v:textbox>
                  <w:txbxContent>
                    <w:p w14:paraId="2E4F31DB" w14:textId="77777777" w:rsidR="00007E2E" w:rsidRPr="00207C89" w:rsidRDefault="00007E2E" w:rsidP="00007E2E">
                      <w:pPr>
                        <w:rPr>
                          <w:rFonts w:asciiTheme="majorBidi" w:hAnsiTheme="majorBidi" w:cstheme="majorBidi"/>
                          <w:sz w:val="24"/>
                          <w:szCs w:val="24"/>
                        </w:rPr>
                      </w:pPr>
                      <w:r w:rsidRPr="00207C89">
                        <w:rPr>
                          <w:rFonts w:asciiTheme="majorBidi" w:hAnsiTheme="majorBidi" w:cstheme="majorBidi"/>
                          <w:sz w:val="24"/>
                          <w:szCs w:val="24"/>
                        </w:rPr>
                        <w:t>t-6         t-5</w:t>
                      </w:r>
                      <w:r w:rsidRPr="00207C89">
                        <w:rPr>
                          <w:rFonts w:asciiTheme="majorBidi" w:hAnsiTheme="majorBidi" w:cstheme="majorBidi"/>
                          <w:sz w:val="24"/>
                          <w:szCs w:val="24"/>
                        </w:rPr>
                        <w:tab/>
                        <w:t xml:space="preserve">       t-0</w:t>
                      </w:r>
                      <w:r w:rsidRPr="00207C89">
                        <w:rPr>
                          <w:rFonts w:asciiTheme="majorBidi" w:hAnsiTheme="majorBidi" w:cstheme="majorBidi"/>
                          <w:sz w:val="24"/>
                          <w:szCs w:val="24"/>
                        </w:rPr>
                        <w:tab/>
                        <w:t xml:space="preserve">                   t+5</w:t>
                      </w:r>
                      <w:r w:rsidRPr="00207C89">
                        <w:rPr>
                          <w:rFonts w:asciiTheme="majorBidi" w:hAnsiTheme="majorBidi" w:cstheme="majorBidi"/>
                          <w:sz w:val="24"/>
                          <w:szCs w:val="24"/>
                        </w:rPr>
                        <w:tab/>
                      </w:r>
                      <w:r w:rsidRPr="00207C89">
                        <w:rPr>
                          <w:rFonts w:asciiTheme="majorBidi" w:hAnsiTheme="majorBidi" w:cstheme="majorBidi"/>
                          <w:sz w:val="24"/>
                          <w:szCs w:val="24"/>
                        </w:rPr>
                        <w:tab/>
                      </w:r>
                    </w:p>
                  </w:txbxContent>
                </v:textbox>
                <w10:wrap type="square"/>
              </v:shape>
            </w:pict>
          </mc:Fallback>
        </mc:AlternateContent>
      </w:r>
      <w:r w:rsidRPr="00DA52CA">
        <w:rPr>
          <w:rFonts w:asciiTheme="majorBidi" w:hAnsiTheme="majorBidi" w:cstheme="majorBidi"/>
          <w:b/>
          <w:bCs/>
          <w:noProof/>
          <w:sz w:val="24"/>
          <w:szCs w:val="24"/>
        </w:rPr>
        <mc:AlternateContent>
          <mc:Choice Requires="wps">
            <w:drawing>
              <wp:anchor distT="45720" distB="45720" distL="114300" distR="114300" simplePos="0" relativeHeight="251677696" behindDoc="0" locked="0" layoutInCell="1" allowOverlap="1" wp14:anchorId="36E46896" wp14:editId="738D13DD">
                <wp:simplePos x="0" y="0"/>
                <wp:positionH relativeFrom="column">
                  <wp:posOffset>-202373</wp:posOffset>
                </wp:positionH>
                <wp:positionV relativeFrom="paragraph">
                  <wp:posOffset>159119</wp:posOffset>
                </wp:positionV>
                <wp:extent cx="478155" cy="287020"/>
                <wp:effectExtent l="0" t="0" r="0" b="0"/>
                <wp:wrapSquare wrapText="bothSides"/>
                <wp:docPr id="687833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87020"/>
                        </a:xfrm>
                        <a:prstGeom prst="rect">
                          <a:avLst/>
                        </a:prstGeom>
                        <a:solidFill>
                          <a:srgbClr val="FFFFFF"/>
                        </a:solidFill>
                        <a:ln w="9525">
                          <a:noFill/>
                          <a:miter lim="800000"/>
                          <a:headEnd/>
                          <a:tailEnd/>
                        </a:ln>
                      </wps:spPr>
                      <wps:txbx>
                        <w:txbxContent>
                          <w:p w14:paraId="2F38599A" w14:textId="77777777" w:rsidR="00007E2E" w:rsidRPr="00953072" w:rsidRDefault="00007E2E" w:rsidP="00007E2E">
                            <w:pPr>
                              <w:rPr>
                                <w:rFonts w:asciiTheme="majorBidi" w:hAnsiTheme="majorBidi" w:cstheme="majorBidi"/>
                                <w:sz w:val="24"/>
                                <w:szCs w:val="24"/>
                              </w:rPr>
                            </w:pPr>
                            <w:r w:rsidRPr="00953072">
                              <w:rPr>
                                <w:rFonts w:asciiTheme="majorBidi" w:hAnsiTheme="majorBidi" w:cstheme="majorBidi"/>
                                <w:sz w:val="24"/>
                                <w:szCs w:val="24"/>
                              </w:rPr>
                              <w:t>t-65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E46896" id="_x0000_s1028" type="#_x0000_t202" style="position:absolute;left:0;text-align:left;margin-left:-15.95pt;margin-top:12.55pt;width:37.65pt;height:22.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" stroked="f">
                <v:textbox>
                  <w:txbxContent>
                    <w:p w14:paraId="2F38599A" w14:textId="77777777" w:rsidR="00007E2E" w:rsidRPr="00953072" w:rsidRDefault="00007E2E" w:rsidP="00007E2E">
                      <w:pPr>
                        <w:rPr>
                          <w:rFonts w:asciiTheme="majorBidi" w:hAnsiTheme="majorBidi" w:cstheme="majorBidi"/>
                          <w:sz w:val="24"/>
                          <w:szCs w:val="24"/>
                        </w:rPr>
                      </w:pPr>
                      <w:r w:rsidRPr="00953072">
                        <w:rPr>
                          <w:rFonts w:asciiTheme="majorBidi" w:hAnsiTheme="majorBidi" w:cstheme="majorBidi"/>
                          <w:sz w:val="24"/>
                          <w:szCs w:val="24"/>
                        </w:rPr>
                        <w:t>t-65</w:t>
                      </w:r>
                    </w:p>
                  </w:txbxContent>
                </v:textbox>
                <w10:wrap type="square"/>
              </v:shape>
            </w:pict>
          </mc:Fallback>
        </mc:AlternateContent>
      </w:r>
    </w:p>
    <w:p w14:paraId="6B55FC49" w14:textId="77777777" w:rsidR="00007E2E" w:rsidRDefault="00007E2E" w:rsidP="00054313">
      <w:pPr>
        <w:rPr>
          <w:rFonts w:asciiTheme="majorBidi" w:hAnsiTheme="majorBidi" w:cstheme="majorBidi"/>
          <w:b/>
          <w:bCs/>
          <w:sz w:val="24"/>
          <w:szCs w:val="24"/>
        </w:rPr>
      </w:pPr>
    </w:p>
    <w:p w14:paraId="305050E0" w14:textId="4240E29D" w:rsidR="00007E2E" w:rsidRPr="00054313" w:rsidRDefault="00007E2E" w:rsidP="00054313">
      <w:pPr>
        <w:spacing w:after="120"/>
        <w:rPr>
          <w:rFonts w:asciiTheme="majorBidi" w:hAnsiTheme="majorBidi" w:cstheme="majorBidi"/>
          <w:b/>
          <w:bCs/>
          <w:sz w:val="24"/>
          <w:szCs w:val="24"/>
        </w:rPr>
      </w:pPr>
      <w:r w:rsidRPr="00054313">
        <w:rPr>
          <w:lang w:val="id-ID"/>
        </w:rPr>
        <w:t>The type of data used in this study is secondary data. The data sources were obtained from the IDX (Indonesian Stock Exchange) through its official website www.idx.co.id and from www.finance.yahoo.com. The data includes the number of shares outstanding, the number of shares traded during the observation period, and the daily closing price of the shares. The data was obtained from official sources that provide capital market information, thereby providing an objective and accurate picture of market conditions during the research period.</w:t>
      </w:r>
      <w:r w:rsidRPr="00054313">
        <w:rPr>
          <w:rFonts w:asciiTheme="majorBidi" w:hAnsiTheme="majorBidi" w:cstheme="majorBidi"/>
          <w:b/>
          <w:bCs/>
          <w:sz w:val="24"/>
          <w:szCs w:val="24"/>
        </w:rPr>
        <w:t xml:space="preserve"> </w:t>
      </w:r>
      <w:r w:rsidRPr="00054313">
        <w:rPr>
          <w:lang w:val="id-ID"/>
        </w:rPr>
        <w:t>The data analysis method in this study aims to test the difference in abnormal returns and trading volume activity before and after the announcement of the BI Rate Cut. If the data meets the normal distribution assumption, a parametric test in the form of a paired sample t-test is used. Conversely, if the data is not normally distributed, the analysis is performed using a nonparametric Wilcoxon signed rank test. This study sets a significance level of 5%.</w:t>
      </w:r>
    </w:p>
    <w:p w14:paraId="471FE9F7" w14:textId="77777777" w:rsidR="00007E2E" w:rsidRPr="00054313" w:rsidRDefault="00007E2E" w:rsidP="00054313">
      <w:pPr>
        <w:rPr>
          <w:lang w:val="id-ID"/>
        </w:rPr>
      </w:pPr>
      <w:r w:rsidRPr="00054313">
        <w:rPr>
          <w:lang w:val="id-ID"/>
        </w:rPr>
        <w:t xml:space="preserve">The variables used in this study are: </w:t>
      </w:r>
    </w:p>
    <w:p w14:paraId="1D53985E" w14:textId="32383609" w:rsidR="00007E2E" w:rsidRDefault="00007E2E" w:rsidP="00054313">
      <w:pPr>
        <w:pStyle w:val="ListParagraph"/>
        <w:numPr>
          <w:ilvl w:val="0"/>
          <w:numId w:val="9"/>
        </w:numPr>
        <w:ind w:left="426"/>
        <w:rPr>
          <w:lang w:val="id-ID"/>
        </w:rPr>
      </w:pPr>
      <w:r w:rsidRPr="00054313">
        <w:rPr>
          <w:lang w:val="id-ID"/>
        </w:rPr>
        <w:t>Abnormal Stock Return The technique used to determine stock returns uses daily stock returns, market returns, and abnormal returns. The steps taken in calculating abnormal stock returns are as follows:</w:t>
      </w:r>
    </w:p>
    <w:p w14:paraId="317DB7EF" w14:textId="77777777" w:rsidR="00054313" w:rsidRPr="00054313" w:rsidRDefault="00054313" w:rsidP="00054313">
      <w:pPr>
        <w:pStyle w:val="ListParagraph"/>
        <w:spacing w:after="0"/>
        <w:ind w:left="426"/>
        <w:rPr>
          <w:lang w:val="id-ID"/>
        </w:rPr>
      </w:pPr>
    </w:p>
    <w:p w14:paraId="01C88760" w14:textId="77777777" w:rsidR="00007E2E" w:rsidRPr="00054313" w:rsidRDefault="00007E2E" w:rsidP="00054313">
      <w:pPr>
        <w:pStyle w:val="ListParagraph"/>
        <w:numPr>
          <w:ilvl w:val="0"/>
          <w:numId w:val="10"/>
        </w:numPr>
        <w:ind w:left="709"/>
        <w:rPr>
          <w:lang w:val="id-ID"/>
        </w:rPr>
      </w:pPr>
      <w:r w:rsidRPr="00054313">
        <w:rPr>
          <w:lang w:val="id-ID"/>
        </w:rPr>
        <w:t>Daily Abnormal Stock Return (Individual Stocks)</w:t>
      </w:r>
    </w:p>
    <w:p w14:paraId="030EAE5C" w14:textId="77777777" w:rsidR="00007E2E" w:rsidRPr="00054313" w:rsidRDefault="00007E2E" w:rsidP="00054313">
      <w:pPr>
        <w:pStyle w:val="ListParagraph"/>
        <w:ind w:left="709"/>
        <w:rPr>
          <w:lang w:val="id-ID"/>
        </w:rPr>
      </w:pPr>
      <w:r w:rsidRPr="00054313">
        <w:rPr>
          <w:lang w:val="id-ID"/>
        </w:rPr>
        <w:t>(Jogiyanto, 2015:263)</w:t>
      </w:r>
    </w:p>
    <w:p w14:paraId="6543A3D6" w14:textId="77777777" w:rsidR="00007E2E" w:rsidRPr="00054313" w:rsidRDefault="00B54CD1" w:rsidP="00054313">
      <w:pPr>
        <w:ind w:left="709"/>
        <w:rPr>
          <w:rFonts w:asciiTheme="majorBidi" w:hAnsiTheme="majorBidi" w:cstheme="majorBidi"/>
          <w:sz w:val="32"/>
          <w:szCs w:val="32"/>
        </w:rPr>
      </w:pPr>
      <m:oMathPara>
        <m:oMathParaPr>
          <m:jc m:val="center"/>
        </m:oMathParaPr>
        <m:oMath>
          <m:sSub>
            <m:sSubPr>
              <m:ctrlPr>
                <w:rPr>
                  <w:rFonts w:ascii="Cambria Math" w:hAnsi="Cambria Math" w:cstheme="majorBidi"/>
                  <w:i/>
                  <w:sz w:val="32"/>
                  <w:szCs w:val="32"/>
                </w:rPr>
              </m:ctrlPr>
            </m:sSubPr>
            <m:e>
              <m:r>
                <w:rPr>
                  <w:rFonts w:ascii="Cambria Math" w:hAnsi="Cambria Math" w:cstheme="majorBidi"/>
                  <w:sz w:val="32"/>
                  <w:szCs w:val="32"/>
                </w:rPr>
                <m:t>R</m:t>
              </m:r>
            </m:e>
            <m:sub>
              <m:r>
                <w:rPr>
                  <w:rFonts w:ascii="Cambria Math" w:hAnsi="Cambria Math" w:cstheme="majorBidi"/>
                  <w:sz w:val="32"/>
                  <w:szCs w:val="32"/>
                </w:rPr>
                <m:t>it</m:t>
              </m:r>
            </m:sub>
          </m:sSub>
          <m:r>
            <w:rPr>
              <w:rFonts w:ascii="Cambria Math" w:hAnsi="Cambria Math" w:cstheme="majorBidi"/>
              <w:sz w:val="32"/>
              <w:szCs w:val="32"/>
            </w:rPr>
            <m:t xml:space="preserve">= </m:t>
          </m:r>
          <m:f>
            <m:fPr>
              <m:ctrlPr>
                <w:rPr>
                  <w:rFonts w:ascii="Cambria Math" w:hAnsi="Cambria Math" w:cstheme="majorBidi"/>
                  <w:i/>
                  <w:sz w:val="32"/>
                  <w:szCs w:val="32"/>
                </w:rPr>
              </m:ctrlPr>
            </m:fPr>
            <m:num>
              <m:sSub>
                <m:sSubPr>
                  <m:ctrlPr>
                    <w:rPr>
                      <w:rFonts w:ascii="Cambria Math" w:hAnsi="Cambria Math" w:cstheme="majorBidi"/>
                      <w:i/>
                      <w:sz w:val="28"/>
                      <w:szCs w:val="28"/>
                    </w:rPr>
                  </m:ctrlPr>
                </m:sSubPr>
                <m:e>
                  <m:r>
                    <w:rPr>
                      <w:rFonts w:ascii="Cambria Math" w:hAnsi="Cambria Math" w:cstheme="majorBidi"/>
                      <w:sz w:val="28"/>
                      <w:szCs w:val="28"/>
                    </w:rPr>
                    <m:t>P</m:t>
                  </m:r>
                </m:e>
                <m:sub>
                  <m:r>
                    <w:rPr>
                      <w:rFonts w:ascii="Cambria Math" w:hAnsi="Cambria Math" w:cstheme="majorBidi"/>
                      <w:sz w:val="28"/>
                      <w:szCs w:val="28"/>
                    </w:rPr>
                    <m:t>it</m:t>
                  </m:r>
                </m:sub>
              </m:sSub>
              <m:r>
                <w:rPr>
                  <w:rFonts w:ascii="Cambria Math" w:hAnsi="Cambria Math" w:cstheme="majorBidi"/>
                  <w:sz w:val="28"/>
                  <w:szCs w:val="28"/>
                </w:rPr>
                <m:t>-</m:t>
              </m:r>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P</m:t>
                  </m:r>
                </m:e>
                <m:sub>
                  <m:r>
                    <w:rPr>
                      <w:rFonts w:ascii="Cambria Math" w:hAnsi="Cambria Math" w:cstheme="majorBidi"/>
                      <w:sz w:val="28"/>
                      <w:szCs w:val="28"/>
                    </w:rPr>
                    <m:t>it</m:t>
                  </m:r>
                  <m:r>
                    <w:rPr>
                      <w:rFonts w:ascii="Cambria Math" w:hAnsi="Cambria Math" w:cstheme="majorBidi"/>
                      <w:sz w:val="28"/>
                      <w:szCs w:val="28"/>
                    </w:rPr>
                    <m:t>-</m:t>
                  </m:r>
                  <m:r>
                    <w:rPr>
                      <w:rFonts w:ascii="Cambria Math" w:hAnsi="Cambria Math" w:cstheme="majorBidi"/>
                      <w:sz w:val="28"/>
                      <w:szCs w:val="28"/>
                    </w:rPr>
                    <m:t>1</m:t>
                  </m:r>
                </m:sub>
              </m:sSub>
            </m:num>
            <m:den>
              <m:sSub>
                <m:sSubPr>
                  <m:ctrlPr>
                    <w:rPr>
                      <w:rFonts w:ascii="Cambria Math" w:hAnsi="Cambria Math" w:cstheme="majorBidi"/>
                      <w:i/>
                      <w:sz w:val="28"/>
                      <w:szCs w:val="28"/>
                    </w:rPr>
                  </m:ctrlPr>
                </m:sSubPr>
                <m:e>
                  <m:r>
                    <w:rPr>
                      <w:rFonts w:ascii="Cambria Math" w:hAnsi="Cambria Math" w:cstheme="majorBidi"/>
                      <w:sz w:val="28"/>
                      <w:szCs w:val="28"/>
                    </w:rPr>
                    <m:t>P</m:t>
                  </m:r>
                </m:e>
                <m:sub>
                  <m:r>
                    <w:rPr>
                      <w:rFonts w:ascii="Cambria Math" w:hAnsi="Cambria Math" w:cstheme="majorBidi"/>
                      <w:sz w:val="28"/>
                      <w:szCs w:val="28"/>
                    </w:rPr>
                    <m:t>it</m:t>
                  </m:r>
                  <m:r>
                    <w:rPr>
                      <w:rFonts w:ascii="Cambria Math" w:hAnsi="Cambria Math" w:cstheme="majorBidi"/>
                      <w:sz w:val="28"/>
                      <w:szCs w:val="28"/>
                    </w:rPr>
                    <m:t>-</m:t>
                  </m:r>
                  <m:r>
                    <w:rPr>
                      <w:rFonts w:ascii="Cambria Math" w:hAnsi="Cambria Math" w:cstheme="majorBidi"/>
                      <w:sz w:val="28"/>
                      <w:szCs w:val="28"/>
                    </w:rPr>
                    <m:t>1</m:t>
                  </m:r>
                </m:sub>
              </m:sSub>
            </m:den>
          </m:f>
        </m:oMath>
      </m:oMathPara>
    </w:p>
    <w:p w14:paraId="6EF12D39" w14:textId="0929A443" w:rsidR="00007E2E" w:rsidRPr="00054313" w:rsidRDefault="00563608" w:rsidP="00054313">
      <w:pPr>
        <w:pStyle w:val="ListParagraph"/>
        <w:ind w:left="709"/>
        <w:rPr>
          <w:lang w:val="id-ID"/>
        </w:rPr>
      </w:pPr>
      <w:r w:rsidRPr="00054313">
        <w:rPr>
          <w:lang w:val="id-ID"/>
        </w:rPr>
        <w:t>Explanation</w:t>
      </w:r>
      <w:r w:rsidR="00007E2E" w:rsidRPr="00054313">
        <w:rPr>
          <w:lang w:val="id-ID"/>
        </w:rPr>
        <w:t xml:space="preserve"> :</w:t>
      </w:r>
    </w:p>
    <w:p w14:paraId="3CA249EE" w14:textId="77777777" w:rsidR="00563608" w:rsidRPr="00054313" w:rsidRDefault="00007E2E" w:rsidP="00054313">
      <w:pPr>
        <w:pStyle w:val="ListParagraph"/>
        <w:ind w:left="709"/>
        <w:rPr>
          <w:lang w:val="id-ID"/>
        </w:rPr>
      </w:pPr>
      <w:r w:rsidRPr="00054313">
        <w:rPr>
          <w:lang w:val="id-ID"/>
        </w:rPr>
        <w:t>Rit</w:t>
      </w:r>
      <w:r w:rsidRPr="00054313">
        <w:rPr>
          <w:lang w:val="id-ID"/>
        </w:rPr>
        <w:tab/>
        <w:t xml:space="preserve">= </w:t>
      </w:r>
      <w:r w:rsidR="00563608" w:rsidRPr="00054313">
        <w:rPr>
          <w:lang w:val="id-ID"/>
        </w:rPr>
        <w:t>Return of stock i in period t</w:t>
      </w:r>
    </w:p>
    <w:p w14:paraId="5C5CE9B5" w14:textId="5DA8FD4E" w:rsidR="00007E2E" w:rsidRPr="00054313" w:rsidRDefault="00007E2E" w:rsidP="00054313">
      <w:pPr>
        <w:pStyle w:val="ListParagraph"/>
        <w:ind w:left="709"/>
        <w:rPr>
          <w:lang w:val="id-ID"/>
        </w:rPr>
      </w:pPr>
      <w:r w:rsidRPr="00054313">
        <w:rPr>
          <w:lang w:val="id-ID"/>
        </w:rPr>
        <w:t>Pit</w:t>
      </w:r>
      <w:r w:rsidRPr="00054313">
        <w:rPr>
          <w:lang w:val="id-ID"/>
        </w:rPr>
        <w:tab/>
        <w:t xml:space="preserve">= </w:t>
      </w:r>
      <w:r w:rsidR="00563608" w:rsidRPr="00054313">
        <w:rPr>
          <w:lang w:val="id-ID"/>
        </w:rPr>
        <w:t>Price of stock i in period t</w:t>
      </w:r>
    </w:p>
    <w:p w14:paraId="737EA99B" w14:textId="2B9B0DD2" w:rsidR="00007E2E" w:rsidRPr="00054313" w:rsidRDefault="00007E2E" w:rsidP="00054313">
      <w:pPr>
        <w:pStyle w:val="ListParagraph"/>
        <w:ind w:left="709"/>
        <w:rPr>
          <w:lang w:val="id-ID"/>
        </w:rPr>
      </w:pPr>
      <w:r w:rsidRPr="00054313">
        <w:rPr>
          <w:lang w:val="id-ID"/>
        </w:rPr>
        <w:t>Pit-1</w:t>
      </w:r>
      <w:r w:rsidRPr="00054313">
        <w:rPr>
          <w:lang w:val="id-ID"/>
        </w:rPr>
        <w:tab/>
        <w:t xml:space="preserve">= </w:t>
      </w:r>
      <w:r w:rsidR="00563608" w:rsidRPr="00054313">
        <w:rPr>
          <w:lang w:val="id-ID"/>
        </w:rPr>
        <w:t>Price of stock i in period t-1</w:t>
      </w:r>
    </w:p>
    <w:p w14:paraId="23E9EE55" w14:textId="0F27C073" w:rsidR="00007E2E" w:rsidRPr="00054313" w:rsidRDefault="00007E2E" w:rsidP="00054313">
      <w:pPr>
        <w:pStyle w:val="ListParagraph"/>
        <w:ind w:left="709"/>
      </w:pPr>
    </w:p>
    <w:p w14:paraId="74E060E6" w14:textId="76E05EF8" w:rsidR="00007E2E" w:rsidRPr="00054313" w:rsidRDefault="00563608" w:rsidP="00054313">
      <w:pPr>
        <w:pStyle w:val="ListParagraph"/>
        <w:numPr>
          <w:ilvl w:val="0"/>
          <w:numId w:val="10"/>
        </w:numPr>
        <w:ind w:left="709"/>
        <w:rPr>
          <w:lang w:val="id-ID"/>
        </w:rPr>
      </w:pPr>
      <w:r w:rsidRPr="00054313">
        <w:rPr>
          <w:lang w:val="id-ID"/>
        </w:rPr>
        <w:lastRenderedPageBreak/>
        <w:t>Calculating Market Return (Rmt)</w:t>
      </w:r>
    </w:p>
    <w:p w14:paraId="7EB7A6BE" w14:textId="34165D50" w:rsidR="00563608" w:rsidRPr="00054313" w:rsidRDefault="00B54CD1" w:rsidP="00054313">
      <w:pPr>
        <w:pStyle w:val="ListParagraph"/>
        <w:ind w:left="709"/>
        <w:rPr>
          <w:rFonts w:asciiTheme="majorBidi" w:hAnsiTheme="majorBidi" w:cstheme="majorBidi"/>
          <w:sz w:val="24"/>
          <w:szCs w:val="24"/>
        </w:rPr>
      </w:pPr>
      <m:oMathPara>
        <m:oMath>
          <m:sSub>
            <m:sSubPr>
              <m:ctrlPr>
                <w:rPr>
                  <w:rFonts w:ascii="Cambria Math" w:hAnsi="Cambria Math" w:cstheme="majorBidi"/>
                  <w:i/>
                  <w:sz w:val="32"/>
                  <w:szCs w:val="32"/>
                </w:rPr>
              </m:ctrlPr>
            </m:sSubPr>
            <m:e>
              <m:r>
                <w:rPr>
                  <w:rFonts w:ascii="Cambria Math" w:hAnsi="Cambria Math" w:cstheme="majorBidi"/>
                  <w:sz w:val="32"/>
                  <w:szCs w:val="32"/>
                </w:rPr>
                <m:t>R</m:t>
              </m:r>
            </m:e>
            <m:sub>
              <m:r>
                <w:rPr>
                  <w:rFonts w:ascii="Cambria Math" w:hAnsi="Cambria Math" w:cstheme="majorBidi"/>
                  <w:sz w:val="32"/>
                  <w:szCs w:val="32"/>
                </w:rPr>
                <m:t>mt</m:t>
              </m:r>
            </m:sub>
          </m:sSub>
          <m:r>
            <w:rPr>
              <w:rFonts w:ascii="Cambria Math" w:hAnsi="Cambria Math" w:cstheme="majorBidi"/>
              <w:sz w:val="32"/>
              <w:szCs w:val="32"/>
            </w:rPr>
            <m:t xml:space="preserve">= </m:t>
          </m:r>
          <m:f>
            <m:fPr>
              <m:ctrlPr>
                <w:rPr>
                  <w:rFonts w:ascii="Cambria Math" w:hAnsi="Cambria Math" w:cstheme="majorBidi"/>
                  <w:i/>
                  <w:sz w:val="32"/>
                  <w:szCs w:val="32"/>
                </w:rPr>
              </m:ctrlPr>
            </m:fPr>
            <m:num>
              <m:sSub>
                <m:sSubPr>
                  <m:ctrlPr>
                    <w:rPr>
                      <w:rFonts w:ascii="Cambria Math" w:hAnsi="Cambria Math" w:cstheme="majorBidi"/>
                      <w:i/>
                      <w:sz w:val="28"/>
                      <w:szCs w:val="28"/>
                    </w:rPr>
                  </m:ctrlPr>
                </m:sSubPr>
                <m:e>
                  <m:r>
                    <w:rPr>
                      <w:rFonts w:ascii="Cambria Math" w:hAnsi="Cambria Math" w:cstheme="majorBidi"/>
                      <w:sz w:val="28"/>
                      <w:szCs w:val="28"/>
                    </w:rPr>
                    <m:t>IHSG</m:t>
                  </m:r>
                </m:e>
                <m:sub>
                  <m:r>
                    <w:rPr>
                      <w:rFonts w:ascii="Cambria Math" w:hAnsi="Cambria Math" w:cstheme="majorBidi"/>
                      <w:sz w:val="28"/>
                      <w:szCs w:val="28"/>
                    </w:rPr>
                    <m:t>t</m:t>
                  </m:r>
                </m:sub>
              </m:sSub>
              <m:r>
                <w:rPr>
                  <w:rFonts w:ascii="Cambria Math" w:hAnsi="Cambria Math" w:cstheme="majorBidi"/>
                  <w:sz w:val="28"/>
                  <w:szCs w:val="28"/>
                </w:rPr>
                <m:t>-</m:t>
              </m:r>
              <m:r>
                <w:rPr>
                  <w:rFonts w:ascii="Cambria Math" w:hAnsi="Cambria Math" w:cstheme="majorBidi"/>
                  <w:sz w:val="28"/>
                  <w:szCs w:val="28"/>
                </w:rPr>
                <m:t xml:space="preserve"> </m:t>
              </m:r>
              <m:sSub>
                <m:sSubPr>
                  <m:ctrlPr>
                    <w:rPr>
                      <w:rFonts w:ascii="Cambria Math" w:hAnsi="Cambria Math" w:cstheme="majorBidi"/>
                      <w:i/>
                      <w:sz w:val="28"/>
                      <w:szCs w:val="28"/>
                    </w:rPr>
                  </m:ctrlPr>
                </m:sSubPr>
                <m:e>
                  <m:r>
                    <w:rPr>
                      <w:rFonts w:ascii="Cambria Math" w:hAnsi="Cambria Math" w:cstheme="majorBidi"/>
                      <w:sz w:val="28"/>
                      <w:szCs w:val="28"/>
                    </w:rPr>
                    <m:t>IHSG</m:t>
                  </m:r>
                </m:e>
                <m:sub>
                  <m:r>
                    <w:rPr>
                      <w:rFonts w:ascii="Cambria Math" w:hAnsi="Cambria Math" w:cstheme="majorBidi"/>
                      <w:sz w:val="28"/>
                      <w:szCs w:val="28"/>
                    </w:rPr>
                    <m:t>t</m:t>
                  </m:r>
                  <m:r>
                    <w:rPr>
                      <w:rFonts w:ascii="Cambria Math" w:hAnsi="Cambria Math" w:cstheme="majorBidi"/>
                      <w:sz w:val="28"/>
                      <w:szCs w:val="28"/>
                    </w:rPr>
                    <m:t>-</m:t>
                  </m:r>
                  <m:r>
                    <w:rPr>
                      <w:rFonts w:ascii="Cambria Math" w:hAnsi="Cambria Math" w:cstheme="majorBidi"/>
                      <w:sz w:val="28"/>
                      <w:szCs w:val="28"/>
                    </w:rPr>
                    <m:t>1</m:t>
                  </m:r>
                </m:sub>
              </m:sSub>
            </m:num>
            <m:den>
              <m:sSub>
                <m:sSubPr>
                  <m:ctrlPr>
                    <w:rPr>
                      <w:rFonts w:ascii="Cambria Math" w:hAnsi="Cambria Math" w:cstheme="majorBidi"/>
                      <w:i/>
                      <w:sz w:val="28"/>
                      <w:szCs w:val="28"/>
                    </w:rPr>
                  </m:ctrlPr>
                </m:sSubPr>
                <m:e>
                  <m:r>
                    <w:rPr>
                      <w:rFonts w:ascii="Cambria Math" w:hAnsi="Cambria Math" w:cstheme="majorBidi"/>
                      <w:sz w:val="28"/>
                      <w:szCs w:val="28"/>
                    </w:rPr>
                    <m:t>IHSG</m:t>
                  </m:r>
                </m:e>
                <m:sub>
                  <m:r>
                    <w:rPr>
                      <w:rFonts w:ascii="Cambria Math" w:hAnsi="Cambria Math" w:cstheme="majorBidi"/>
                      <w:sz w:val="28"/>
                      <w:szCs w:val="28"/>
                    </w:rPr>
                    <m:t>t</m:t>
                  </m:r>
                  <m:r>
                    <w:rPr>
                      <w:rFonts w:ascii="Cambria Math" w:hAnsi="Cambria Math" w:cstheme="majorBidi"/>
                      <w:sz w:val="28"/>
                      <w:szCs w:val="28"/>
                    </w:rPr>
                    <m:t>-</m:t>
                  </m:r>
                  <m:r>
                    <w:rPr>
                      <w:rFonts w:ascii="Cambria Math" w:hAnsi="Cambria Math" w:cstheme="majorBidi"/>
                      <w:sz w:val="28"/>
                      <w:szCs w:val="28"/>
                    </w:rPr>
                    <m:t>1</m:t>
                  </m:r>
                </m:sub>
              </m:sSub>
            </m:den>
          </m:f>
        </m:oMath>
      </m:oMathPara>
    </w:p>
    <w:p w14:paraId="5F50E006" w14:textId="2867E8C0" w:rsidR="00563608" w:rsidRPr="00054313" w:rsidRDefault="00563608" w:rsidP="00054313">
      <w:pPr>
        <w:pStyle w:val="ListParagraph"/>
        <w:ind w:left="709"/>
        <w:rPr>
          <w:lang w:val="id-ID"/>
        </w:rPr>
      </w:pPr>
      <w:r w:rsidRPr="00054313">
        <w:rPr>
          <w:lang w:val="id-ID"/>
        </w:rPr>
        <w:t>Explanation :</w:t>
      </w:r>
    </w:p>
    <w:p w14:paraId="74FFC1EE" w14:textId="07F1B8F2" w:rsidR="00563608" w:rsidRPr="00054313" w:rsidRDefault="00563608" w:rsidP="00054313">
      <w:pPr>
        <w:pStyle w:val="ListParagraph"/>
        <w:ind w:left="709"/>
        <w:rPr>
          <w:lang w:val="id-ID"/>
        </w:rPr>
      </w:pPr>
      <w:r w:rsidRPr="00054313">
        <w:rPr>
          <w:lang w:val="id-ID"/>
        </w:rPr>
        <w:t>Rmt</w:t>
      </w:r>
      <w:r w:rsidRPr="00054313">
        <w:rPr>
          <w:lang w:val="id-ID"/>
        </w:rPr>
        <w:tab/>
        <w:t>= IHSG return in period t</w:t>
      </w:r>
    </w:p>
    <w:p w14:paraId="12BFB8FB" w14:textId="563D7308" w:rsidR="00563608" w:rsidRPr="00054313" w:rsidRDefault="00563608" w:rsidP="00054313">
      <w:pPr>
        <w:pStyle w:val="ListParagraph"/>
        <w:ind w:left="709"/>
        <w:rPr>
          <w:lang w:val="id-ID"/>
        </w:rPr>
      </w:pPr>
      <w:r w:rsidRPr="00054313">
        <w:rPr>
          <w:lang w:val="id-ID"/>
        </w:rPr>
        <w:t>IHSGt</w:t>
      </w:r>
      <w:r w:rsidRPr="00054313">
        <w:rPr>
          <w:lang w:val="id-ID"/>
        </w:rPr>
        <w:tab/>
        <w:t>= Composite stock price index in period t</w:t>
      </w:r>
    </w:p>
    <w:p w14:paraId="5A217999" w14:textId="2F1697E9" w:rsidR="00563608" w:rsidRDefault="00563608" w:rsidP="00054313">
      <w:pPr>
        <w:pStyle w:val="ListParagraph"/>
        <w:ind w:left="709"/>
        <w:rPr>
          <w:lang w:val="id-ID"/>
        </w:rPr>
      </w:pPr>
      <w:r w:rsidRPr="00054313">
        <w:rPr>
          <w:lang w:val="id-ID"/>
        </w:rPr>
        <w:t>IHSGt-1</w:t>
      </w:r>
      <w:r w:rsidRPr="00054313">
        <w:rPr>
          <w:lang w:val="id-ID"/>
        </w:rPr>
        <w:tab/>
        <w:t>= Composite stock price index in period t-1 Calculating Market Return (R</w:t>
      </w:r>
    </w:p>
    <w:p w14:paraId="10CEA269" w14:textId="77777777" w:rsidR="00054313" w:rsidRPr="00054313" w:rsidRDefault="00054313" w:rsidP="00054313">
      <w:pPr>
        <w:pStyle w:val="ListParagraph"/>
        <w:ind w:left="709"/>
        <w:rPr>
          <w:lang w:val="id-ID"/>
        </w:rPr>
      </w:pPr>
    </w:p>
    <w:p w14:paraId="0A28C5EF" w14:textId="77777777" w:rsidR="00563608" w:rsidRPr="00054313" w:rsidRDefault="00563608" w:rsidP="00054313">
      <w:pPr>
        <w:pStyle w:val="ListParagraph"/>
        <w:numPr>
          <w:ilvl w:val="0"/>
          <w:numId w:val="10"/>
        </w:numPr>
        <w:ind w:left="709"/>
        <w:rPr>
          <w:lang w:val="id-ID"/>
        </w:rPr>
      </w:pPr>
      <w:r w:rsidRPr="00054313">
        <w:rPr>
          <w:lang w:val="id-ID"/>
        </w:rPr>
        <w:t>Regress daily individual stock returns against daily market returns to obtain the α (alpha) and β (beta) of each stock using a single index model.</w:t>
      </w:r>
    </w:p>
    <w:p w14:paraId="28E84985" w14:textId="427E8107" w:rsidR="00563608" w:rsidRPr="00054313" w:rsidRDefault="00563608" w:rsidP="00054313">
      <w:pPr>
        <w:pStyle w:val="ListParagraph"/>
        <w:ind w:left="709"/>
        <w:rPr>
          <w:lang w:val="id-ID"/>
        </w:rPr>
      </w:pPr>
      <w:r w:rsidRPr="00054313">
        <w:rPr>
          <w:lang w:val="id-ID"/>
        </w:rPr>
        <w:t>(Jogiyanto, 2015:263)</w:t>
      </w:r>
    </w:p>
    <w:p w14:paraId="7DE0AB3C" w14:textId="5D53BD48" w:rsidR="00563608" w:rsidRPr="00054313" w:rsidRDefault="00B54CD1" w:rsidP="00054313">
      <w:pPr>
        <w:ind w:left="709"/>
        <w:rPr>
          <w:rFonts w:asciiTheme="majorBidi" w:eastAsiaTheme="minorEastAsia" w:hAnsiTheme="majorBidi" w:cstheme="majorBidi"/>
          <w:sz w:val="24"/>
          <w:szCs w:val="24"/>
        </w:rPr>
      </w:pPr>
      <m:oMathPara>
        <m:oMath>
          <m:sSub>
            <m:sSubPr>
              <m:ctrlPr>
                <w:rPr>
                  <w:rFonts w:ascii="Cambria Math" w:hAnsi="Cambria Math" w:cstheme="majorBidi"/>
                  <w:i/>
                  <w:sz w:val="28"/>
                  <w:szCs w:val="28"/>
                </w:rPr>
              </m:ctrlPr>
            </m:sSubPr>
            <m:e>
              <m:r>
                <w:rPr>
                  <w:rFonts w:ascii="Cambria Math" w:hAnsi="Cambria Math" w:cstheme="majorBidi"/>
                  <w:sz w:val="28"/>
                  <w:szCs w:val="28"/>
                </w:rPr>
                <m:t>E</m:t>
              </m:r>
              <m:r>
                <w:rPr>
                  <w:rFonts w:ascii="Cambria Math" w:hAnsi="Cambria Math" w:cstheme="majorBidi"/>
                  <w:sz w:val="28"/>
                  <w:szCs w:val="28"/>
                </w:rPr>
                <m:t>(</m:t>
              </m:r>
              <m:r>
                <w:rPr>
                  <w:rFonts w:ascii="Cambria Math" w:hAnsi="Cambria Math" w:cstheme="majorBidi"/>
                  <w:sz w:val="28"/>
                  <w:szCs w:val="28"/>
                </w:rPr>
                <m:t>R</m:t>
              </m:r>
            </m:e>
            <m:sub>
              <m:r>
                <w:rPr>
                  <w:rFonts w:ascii="Cambria Math" w:hAnsi="Cambria Math" w:cstheme="majorBidi"/>
                  <w:sz w:val="28"/>
                  <w:szCs w:val="28"/>
                </w:rPr>
                <m:t>it</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m:rPr>
                  <m:sty m:val="p"/>
                </m:rPr>
                <w:rPr>
                  <w:rFonts w:ascii="Cambria Math" w:hAnsi="Cambria Math" w:cstheme="majorBidi"/>
                  <w:sz w:val="28"/>
                  <w:szCs w:val="28"/>
                </w:rPr>
                <m:t>α</m:t>
              </m:r>
            </m:e>
            <m:sub>
              <m:r>
                <w:rPr>
                  <w:rFonts w:ascii="Cambria Math" w:hAnsi="Cambria Math" w:cstheme="majorBidi"/>
                  <w:sz w:val="28"/>
                  <w:szCs w:val="28"/>
                </w:rPr>
                <m:t>i</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m:rPr>
                  <m:sty m:val="p"/>
                </m:rPr>
                <w:rPr>
                  <w:rFonts w:ascii="Cambria Math" w:hAnsi="Cambria Math" w:cstheme="majorBidi"/>
                  <w:sz w:val="28"/>
                  <w:szCs w:val="28"/>
                </w:rPr>
                <m:t>β</m:t>
              </m:r>
            </m:e>
            <m:sub>
              <m:r>
                <w:rPr>
                  <w:rFonts w:ascii="Cambria Math" w:hAnsi="Cambria Math" w:cstheme="majorBidi"/>
                  <w:sz w:val="28"/>
                  <w:szCs w:val="28"/>
                </w:rPr>
                <m:t>i</m:t>
              </m:r>
            </m:sub>
          </m:sSub>
          <m:r>
            <w:rPr>
              <w:rFonts w:ascii="Cambria Math" w:hAnsi="Cambria Math" w:cstheme="majorBidi"/>
              <w:sz w:val="28"/>
              <w:szCs w:val="28"/>
            </w:rPr>
            <m:t>E</m:t>
          </m:r>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mt</m:t>
              </m:r>
            </m:sub>
          </m:sSub>
          <m:r>
            <w:rPr>
              <w:rFonts w:ascii="Cambria Math" w:hAnsi="Cambria Math" w:cstheme="majorBidi"/>
              <w:sz w:val="28"/>
              <w:szCs w:val="28"/>
            </w:rPr>
            <m:t>)</m:t>
          </m:r>
        </m:oMath>
      </m:oMathPara>
    </w:p>
    <w:p w14:paraId="2086EEEC" w14:textId="7B3CAFE5" w:rsidR="00563608" w:rsidRPr="00054313" w:rsidRDefault="00563608" w:rsidP="00054313">
      <w:pPr>
        <w:pStyle w:val="ListParagraph"/>
        <w:ind w:left="709"/>
        <w:rPr>
          <w:lang w:val="id-ID"/>
        </w:rPr>
      </w:pPr>
      <w:r w:rsidRPr="00054313">
        <w:rPr>
          <w:lang w:val="id-ID"/>
        </w:rPr>
        <w:t>Explanation :</w:t>
      </w:r>
    </w:p>
    <w:p w14:paraId="492407FD" w14:textId="6E99968A" w:rsidR="00563608" w:rsidRPr="00054313" w:rsidRDefault="00563608" w:rsidP="00054313">
      <w:pPr>
        <w:pStyle w:val="ListParagraph"/>
        <w:ind w:left="709"/>
        <w:rPr>
          <w:lang w:val="id-ID"/>
        </w:rPr>
      </w:pPr>
      <w:r w:rsidRPr="00054313">
        <w:rPr>
          <w:lang w:val="id-ID"/>
        </w:rPr>
        <w:t>Rit</w:t>
      </w:r>
      <w:r w:rsidRPr="00054313">
        <w:rPr>
          <w:lang w:val="id-ID"/>
        </w:rPr>
        <w:tab/>
        <w:t xml:space="preserve">= Return of stock i in period t </w:t>
      </w:r>
    </w:p>
    <w:p w14:paraId="06534443" w14:textId="0D7B3750" w:rsidR="00563608" w:rsidRPr="00054313" w:rsidRDefault="00563608" w:rsidP="00054313">
      <w:pPr>
        <w:pStyle w:val="ListParagraph"/>
        <w:ind w:left="709"/>
        <w:rPr>
          <w:lang w:val="id-ID"/>
        </w:rPr>
      </w:pPr>
      <w:r w:rsidRPr="00054313">
        <w:rPr>
          <w:lang w:val="id-ID"/>
        </w:rPr>
        <w:t>Rmt</w:t>
      </w:r>
      <w:r w:rsidRPr="00054313">
        <w:rPr>
          <w:lang w:val="id-ID"/>
        </w:rPr>
        <w:tab/>
        <w:t>= Return of the IHSG in period t</w:t>
      </w:r>
    </w:p>
    <w:p w14:paraId="436E7F87" w14:textId="1DCB386C" w:rsidR="00563608" w:rsidRPr="00054313" w:rsidRDefault="00563608" w:rsidP="00054313">
      <w:pPr>
        <w:pStyle w:val="ListParagraph"/>
        <w:ind w:left="709"/>
        <w:rPr>
          <w:lang w:val="id-ID"/>
        </w:rPr>
      </w:pPr>
      <w:r w:rsidRPr="00054313">
        <w:rPr>
          <w:rFonts w:asciiTheme="majorBidi" w:hAnsiTheme="majorBidi" w:cstheme="majorBidi"/>
          <w:sz w:val="24"/>
          <w:szCs w:val="24"/>
        </w:rPr>
        <w:t>α</w:t>
      </w:r>
      <w:proofErr w:type="spellStart"/>
      <w:r w:rsidRPr="00054313">
        <w:rPr>
          <w:rFonts w:asciiTheme="majorBidi" w:hAnsiTheme="majorBidi" w:cstheme="majorBidi"/>
          <w:sz w:val="24"/>
          <w:szCs w:val="24"/>
          <w:vertAlign w:val="subscript"/>
        </w:rPr>
        <w:t>i</w:t>
      </w:r>
      <w:proofErr w:type="spellEnd"/>
      <w:r w:rsidRPr="00054313">
        <w:rPr>
          <w:lang w:val="id-ID"/>
        </w:rPr>
        <w:tab/>
        <w:t xml:space="preserve">= The portion of stock i's return that is not influenced by market performance  </w:t>
      </w:r>
    </w:p>
    <w:p w14:paraId="20A1059F" w14:textId="2864238B" w:rsidR="00563608" w:rsidRDefault="00563608" w:rsidP="00054313">
      <w:pPr>
        <w:pStyle w:val="ListParagraph"/>
        <w:ind w:left="709"/>
        <w:rPr>
          <w:lang w:val="id-ID"/>
        </w:rPr>
      </w:pPr>
      <w:r w:rsidRPr="00054313">
        <w:rPr>
          <w:rFonts w:asciiTheme="majorBidi" w:hAnsiTheme="majorBidi" w:cstheme="majorBidi"/>
          <w:sz w:val="24"/>
          <w:szCs w:val="24"/>
        </w:rPr>
        <w:t>β</w:t>
      </w:r>
      <w:proofErr w:type="spellStart"/>
      <w:r w:rsidRPr="00054313">
        <w:rPr>
          <w:rFonts w:asciiTheme="majorBidi" w:hAnsiTheme="majorBidi" w:cstheme="majorBidi"/>
          <w:sz w:val="24"/>
          <w:szCs w:val="24"/>
          <w:vertAlign w:val="subscript"/>
        </w:rPr>
        <w:t>i</w:t>
      </w:r>
      <w:proofErr w:type="spellEnd"/>
      <w:r w:rsidRPr="00054313">
        <w:rPr>
          <w:lang w:val="id-ID"/>
        </w:rPr>
        <w:tab/>
        <w:t>= Residual error</w:t>
      </w:r>
    </w:p>
    <w:p w14:paraId="24B466D6" w14:textId="77777777" w:rsidR="00054313" w:rsidRPr="00054313" w:rsidRDefault="00054313" w:rsidP="00054313">
      <w:pPr>
        <w:pStyle w:val="ListParagraph"/>
        <w:ind w:left="709"/>
        <w:rPr>
          <w:lang w:val="id-ID"/>
        </w:rPr>
      </w:pPr>
    </w:p>
    <w:p w14:paraId="520F6B2B" w14:textId="5E94BEDB" w:rsidR="00563608" w:rsidRPr="00054313" w:rsidRDefault="00563608" w:rsidP="00054313">
      <w:pPr>
        <w:pStyle w:val="ListParagraph"/>
        <w:numPr>
          <w:ilvl w:val="0"/>
          <w:numId w:val="10"/>
        </w:numPr>
        <w:ind w:left="709"/>
        <w:rPr>
          <w:lang w:val="id-ID"/>
        </w:rPr>
      </w:pPr>
      <w:r w:rsidRPr="00054313">
        <w:rPr>
          <w:lang w:val="id-ID"/>
        </w:rPr>
        <w:t>Calculate Expected Return (E(Rit)</w:t>
      </w:r>
    </w:p>
    <w:p w14:paraId="0CB5AA7B" w14:textId="77777777" w:rsidR="00563608" w:rsidRPr="00054313" w:rsidRDefault="00563608" w:rsidP="00054313">
      <w:pPr>
        <w:pStyle w:val="ListParagraph"/>
        <w:ind w:left="709"/>
        <w:rPr>
          <w:lang w:val="id-ID"/>
        </w:rPr>
      </w:pPr>
      <w:r w:rsidRPr="00054313">
        <w:rPr>
          <w:lang w:val="id-ID"/>
        </w:rPr>
        <w:t>(Jogiyanto, 2015:263)</w:t>
      </w:r>
    </w:p>
    <w:p w14:paraId="3059D82C" w14:textId="6E9CA7AB" w:rsidR="00563608" w:rsidRPr="00054313" w:rsidRDefault="00B54CD1" w:rsidP="00054313">
      <w:pPr>
        <w:pStyle w:val="ListParagraph"/>
        <w:ind w:left="709"/>
        <w:rPr>
          <w:rFonts w:asciiTheme="majorBidi" w:eastAsiaTheme="minorEastAsia" w:hAnsiTheme="majorBidi" w:cstheme="majorBidi"/>
          <w:sz w:val="24"/>
          <w:szCs w:val="24"/>
        </w:rPr>
      </w:pPr>
      <m:oMathPara>
        <m:oMath>
          <m:sSub>
            <m:sSubPr>
              <m:ctrlPr>
                <w:rPr>
                  <w:rFonts w:ascii="Cambria Math" w:hAnsi="Cambria Math" w:cstheme="majorBidi"/>
                  <w:i/>
                  <w:sz w:val="28"/>
                  <w:szCs w:val="28"/>
                </w:rPr>
              </m:ctrlPr>
            </m:sSubPr>
            <m:e>
              <m:r>
                <w:rPr>
                  <w:rFonts w:ascii="Cambria Math" w:hAnsi="Cambria Math" w:cstheme="majorBidi"/>
                  <w:sz w:val="28"/>
                  <w:szCs w:val="28"/>
                </w:rPr>
                <m:t>E</m:t>
              </m:r>
              <m:r>
                <w:rPr>
                  <w:rFonts w:ascii="Cambria Math" w:hAnsi="Cambria Math" w:cstheme="majorBidi"/>
                  <w:sz w:val="28"/>
                  <w:szCs w:val="28"/>
                </w:rPr>
                <m:t>(</m:t>
              </m:r>
              <m:r>
                <w:rPr>
                  <w:rFonts w:ascii="Cambria Math" w:hAnsi="Cambria Math" w:cstheme="majorBidi"/>
                  <w:sz w:val="28"/>
                  <w:szCs w:val="28"/>
                </w:rPr>
                <m:t>R</m:t>
              </m:r>
            </m:e>
            <m:sub>
              <m:r>
                <w:rPr>
                  <w:rFonts w:ascii="Cambria Math" w:hAnsi="Cambria Math" w:cstheme="majorBidi"/>
                  <w:sz w:val="28"/>
                  <w:szCs w:val="28"/>
                </w:rPr>
                <m:t>it</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m:rPr>
                  <m:sty m:val="p"/>
                </m:rPr>
                <w:rPr>
                  <w:rFonts w:ascii="Cambria Math" w:hAnsi="Cambria Math" w:cstheme="majorBidi"/>
                  <w:sz w:val="28"/>
                  <w:szCs w:val="28"/>
                </w:rPr>
                <m:t>α</m:t>
              </m:r>
            </m:e>
            <m:sub>
              <m:r>
                <w:rPr>
                  <w:rFonts w:ascii="Cambria Math" w:hAnsi="Cambria Math" w:cstheme="majorBidi"/>
                  <w:sz w:val="28"/>
                  <w:szCs w:val="28"/>
                </w:rPr>
                <m:t>i</m:t>
              </m:r>
            </m:sub>
          </m:sSub>
          <m:r>
            <w:rPr>
              <w:rFonts w:ascii="Cambria Math" w:hAnsi="Cambria Math" w:cstheme="majorBidi"/>
              <w:sz w:val="28"/>
              <w:szCs w:val="28"/>
            </w:rPr>
            <m:t xml:space="preserve">+ </m:t>
          </m:r>
          <m:sSub>
            <m:sSubPr>
              <m:ctrlPr>
                <w:rPr>
                  <w:rFonts w:ascii="Cambria Math" w:hAnsi="Cambria Math" w:cstheme="majorBidi"/>
                  <w:i/>
                  <w:sz w:val="28"/>
                  <w:szCs w:val="28"/>
                </w:rPr>
              </m:ctrlPr>
            </m:sSubPr>
            <m:e>
              <m:r>
                <m:rPr>
                  <m:sty m:val="p"/>
                </m:rPr>
                <w:rPr>
                  <w:rFonts w:ascii="Cambria Math" w:hAnsi="Cambria Math" w:cstheme="majorBidi"/>
                  <w:sz w:val="28"/>
                  <w:szCs w:val="28"/>
                </w:rPr>
                <m:t>β</m:t>
              </m:r>
            </m:e>
            <m:sub>
              <m:r>
                <w:rPr>
                  <w:rFonts w:ascii="Cambria Math" w:hAnsi="Cambria Math" w:cstheme="majorBidi"/>
                  <w:sz w:val="28"/>
                  <w:szCs w:val="28"/>
                </w:rPr>
                <m:t>i</m:t>
              </m:r>
            </m:sub>
          </m:sSub>
          <m:r>
            <w:rPr>
              <w:rFonts w:ascii="Cambria Math" w:hAnsi="Cambria Math" w:cstheme="majorBidi"/>
              <w:sz w:val="28"/>
              <w:szCs w:val="28"/>
            </w:rPr>
            <m:t>E</m:t>
          </m:r>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mt</m:t>
              </m:r>
            </m:sub>
          </m:sSub>
          <m:r>
            <w:rPr>
              <w:rFonts w:ascii="Cambria Math" w:hAnsi="Cambria Math" w:cstheme="majorBidi"/>
              <w:sz w:val="28"/>
              <w:szCs w:val="28"/>
            </w:rPr>
            <m:t>)</m:t>
          </m:r>
        </m:oMath>
      </m:oMathPara>
    </w:p>
    <w:p w14:paraId="01C6DF43" w14:textId="77777777" w:rsidR="00563608" w:rsidRPr="00054313" w:rsidRDefault="00563608" w:rsidP="00054313">
      <w:pPr>
        <w:pStyle w:val="ListParagraph"/>
        <w:ind w:left="709"/>
        <w:rPr>
          <w:lang w:val="id-ID"/>
        </w:rPr>
      </w:pPr>
      <w:r w:rsidRPr="00054313">
        <w:rPr>
          <w:lang w:val="id-ID"/>
        </w:rPr>
        <w:t>Explanation:</w:t>
      </w:r>
    </w:p>
    <w:p w14:paraId="456FC78F" w14:textId="20F03A1D" w:rsidR="00563608" w:rsidRPr="00054313" w:rsidRDefault="00563608" w:rsidP="00054313">
      <w:pPr>
        <w:pStyle w:val="ListParagraph"/>
        <w:ind w:left="709"/>
        <w:rPr>
          <w:lang w:val="id-ID"/>
        </w:rPr>
      </w:pPr>
      <w:r w:rsidRPr="00054313">
        <w:rPr>
          <w:lang w:val="id-ID"/>
        </w:rPr>
        <w:t>E(Rit)</w:t>
      </w:r>
      <w:r w:rsidRPr="00054313">
        <w:rPr>
          <w:lang w:val="id-ID"/>
        </w:rPr>
        <w:tab/>
        <w:t xml:space="preserve">= Expected Return of stock i in period t </w:t>
      </w:r>
    </w:p>
    <w:p w14:paraId="6C4797F5" w14:textId="2EE7CBCD" w:rsidR="00563608" w:rsidRPr="00054313" w:rsidRDefault="00563608" w:rsidP="00054313">
      <w:pPr>
        <w:pStyle w:val="ListParagraph"/>
        <w:ind w:left="709"/>
        <w:rPr>
          <w:lang w:val="id-ID"/>
        </w:rPr>
      </w:pPr>
      <w:r w:rsidRPr="00054313">
        <w:rPr>
          <w:lang w:val="id-ID"/>
        </w:rPr>
        <w:t>Αi</w:t>
      </w:r>
      <w:r w:rsidRPr="00054313">
        <w:rPr>
          <w:lang w:val="id-ID"/>
        </w:rPr>
        <w:tab/>
        <w:t xml:space="preserve">= The portion of stock i's return that is not influenced by market performance  </w:t>
      </w:r>
    </w:p>
    <w:p w14:paraId="119D8F23" w14:textId="57F88905" w:rsidR="00563608" w:rsidRPr="00054313" w:rsidRDefault="00563608" w:rsidP="00054313">
      <w:pPr>
        <w:pStyle w:val="ListParagraph"/>
        <w:ind w:left="709"/>
        <w:rPr>
          <w:lang w:val="id-ID"/>
        </w:rPr>
      </w:pPr>
      <w:r w:rsidRPr="00054313">
        <w:rPr>
          <w:lang w:val="id-ID"/>
        </w:rPr>
        <w:t>Βi</w:t>
      </w:r>
      <w:r w:rsidRPr="00054313">
        <w:rPr>
          <w:lang w:val="id-ID"/>
        </w:rPr>
        <w:tab/>
        <w:t>= Sensitivity of stock i's return to the market (also known as stock i's beta)</w:t>
      </w:r>
    </w:p>
    <w:p w14:paraId="16892EB7" w14:textId="19FBAE71" w:rsidR="00563608" w:rsidRDefault="00563608" w:rsidP="00054313">
      <w:pPr>
        <w:pStyle w:val="ListParagraph"/>
        <w:ind w:left="709"/>
        <w:rPr>
          <w:lang w:val="id-ID"/>
        </w:rPr>
      </w:pPr>
      <w:r w:rsidRPr="00054313">
        <w:rPr>
          <w:lang w:val="id-ID"/>
        </w:rPr>
        <w:t>E(Rmt)</w:t>
      </w:r>
      <w:r w:rsidRPr="00054313">
        <w:rPr>
          <w:lang w:val="id-ID"/>
        </w:rPr>
        <w:tab/>
        <w:t>= E(Rmt) of the market in period t (using Rmt data during the event period)</w:t>
      </w:r>
    </w:p>
    <w:p w14:paraId="675FF5AC" w14:textId="77777777" w:rsidR="00054313" w:rsidRPr="00054313" w:rsidRDefault="00054313" w:rsidP="00054313">
      <w:pPr>
        <w:pStyle w:val="ListParagraph"/>
        <w:ind w:left="709"/>
        <w:rPr>
          <w:lang w:val="id-ID"/>
        </w:rPr>
      </w:pPr>
    </w:p>
    <w:p w14:paraId="4A58766D" w14:textId="250DD1DB" w:rsidR="00376703" w:rsidRPr="00054313" w:rsidRDefault="00376703" w:rsidP="00054313">
      <w:pPr>
        <w:pStyle w:val="ListParagraph"/>
        <w:numPr>
          <w:ilvl w:val="0"/>
          <w:numId w:val="10"/>
        </w:numPr>
        <w:ind w:left="709"/>
        <w:rPr>
          <w:lang w:val="id-ID"/>
        </w:rPr>
      </w:pPr>
      <w:r w:rsidRPr="00054313">
        <w:rPr>
          <w:lang w:val="id-ID"/>
        </w:rPr>
        <w:t>Calculating Abnormal Return (ARit)</w:t>
      </w:r>
    </w:p>
    <w:p w14:paraId="03FC1F94" w14:textId="0A4E7852" w:rsidR="00376703" w:rsidRPr="00054313" w:rsidRDefault="00376703" w:rsidP="00054313">
      <w:pPr>
        <w:pStyle w:val="ListParagraph"/>
        <w:ind w:left="709"/>
        <w:rPr>
          <w:lang w:val="id-ID"/>
        </w:rPr>
      </w:pPr>
      <w:r w:rsidRPr="00054313">
        <w:rPr>
          <w:lang w:val="id-ID"/>
        </w:rPr>
        <w:t>(Jogiyanto,2010:416)</w:t>
      </w:r>
      <w:r w:rsidRPr="00054313">
        <w:rPr>
          <w:rFonts w:ascii="Cambria Math" w:hAnsi="Cambria Math" w:cstheme="majorBidi"/>
          <w:i/>
          <w:sz w:val="24"/>
          <w:szCs w:val="24"/>
        </w:rPr>
        <w:br/>
      </w:r>
      <m:oMathPara>
        <m:oMath>
          <m:sSub>
            <m:sSubPr>
              <m:ctrlPr>
                <w:rPr>
                  <w:rFonts w:ascii="Cambria Math" w:hAnsi="Cambria Math" w:cstheme="majorBidi"/>
                  <w:i/>
                  <w:sz w:val="24"/>
                  <w:szCs w:val="24"/>
                </w:rPr>
              </m:ctrlPr>
            </m:sSubPr>
            <m:e>
              <m:r>
                <w:rPr>
                  <w:rFonts w:ascii="Cambria Math" w:hAnsi="Cambria Math" w:cstheme="majorBidi"/>
                  <w:sz w:val="24"/>
                  <w:szCs w:val="24"/>
                </w:rPr>
                <m:t>AR</m:t>
              </m:r>
            </m:e>
            <m:sub>
              <m:r>
                <w:rPr>
                  <w:rFonts w:ascii="Cambria Math" w:hAnsi="Cambria Math" w:cstheme="majorBidi"/>
                  <w:sz w:val="24"/>
                  <w:szCs w:val="24"/>
                </w:rPr>
                <m:t>it</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it</m:t>
              </m:r>
            </m:sub>
          </m:sSub>
          <m:r>
            <w:rPr>
              <w:rFonts w:ascii="Cambria Math" w:hAnsi="Cambria Math" w:cstheme="majorBidi"/>
              <w:sz w:val="24"/>
              <w:szCs w:val="24"/>
            </w:rPr>
            <m:t>-E(</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it</m:t>
              </m:r>
            </m:sub>
          </m:sSub>
          <m:r>
            <w:rPr>
              <w:rFonts w:ascii="Cambria Math" w:hAnsi="Cambria Math" w:cstheme="majorBidi"/>
              <w:sz w:val="24"/>
              <w:szCs w:val="24"/>
            </w:rPr>
            <m:t>)</m:t>
          </m:r>
        </m:oMath>
      </m:oMathPara>
    </w:p>
    <w:p w14:paraId="7A541314" w14:textId="77777777" w:rsidR="00376703" w:rsidRPr="00054313" w:rsidRDefault="00376703" w:rsidP="00054313">
      <w:pPr>
        <w:pStyle w:val="ListParagraph"/>
        <w:ind w:left="709"/>
        <w:rPr>
          <w:lang w:val="id-ID"/>
        </w:rPr>
      </w:pPr>
      <w:r w:rsidRPr="00054313">
        <w:rPr>
          <w:lang w:val="id-ID"/>
        </w:rPr>
        <w:t>Explanation:</w:t>
      </w:r>
    </w:p>
    <w:p w14:paraId="066CEDD1" w14:textId="6BAB3D4D" w:rsidR="00376703" w:rsidRPr="00054313" w:rsidRDefault="00376703" w:rsidP="00054313">
      <w:pPr>
        <w:pStyle w:val="ListParagraph"/>
        <w:ind w:left="709"/>
        <w:rPr>
          <w:lang w:val="id-ID"/>
        </w:rPr>
      </w:pPr>
      <w:r w:rsidRPr="00054313">
        <w:rPr>
          <w:lang w:val="id-ID"/>
        </w:rPr>
        <w:t>Arit</w:t>
      </w:r>
      <w:r w:rsidRPr="00054313">
        <w:rPr>
          <w:lang w:val="id-ID"/>
        </w:rPr>
        <w:tab/>
        <w:t>= Abnormal return of stock i in period t</w:t>
      </w:r>
    </w:p>
    <w:p w14:paraId="1BEC0EAB" w14:textId="617828B8" w:rsidR="00376703" w:rsidRPr="00054313" w:rsidRDefault="00376703" w:rsidP="00054313">
      <w:pPr>
        <w:pStyle w:val="ListParagraph"/>
        <w:ind w:left="709"/>
        <w:rPr>
          <w:lang w:val="id-ID"/>
        </w:rPr>
      </w:pPr>
      <w:r w:rsidRPr="00054313">
        <w:rPr>
          <w:lang w:val="id-ID"/>
        </w:rPr>
        <w:t>Rit</w:t>
      </w:r>
      <w:r w:rsidRPr="00054313">
        <w:rPr>
          <w:lang w:val="id-ID"/>
        </w:rPr>
        <w:tab/>
        <w:t>= Return of stock i in period t</w:t>
      </w:r>
    </w:p>
    <w:p w14:paraId="69A1BF0B" w14:textId="423E2C5E" w:rsidR="00563608" w:rsidRPr="00054313" w:rsidRDefault="00376703" w:rsidP="00054313">
      <w:pPr>
        <w:pStyle w:val="ListParagraph"/>
        <w:ind w:left="709"/>
        <w:rPr>
          <w:lang w:val="id-ID"/>
        </w:rPr>
      </w:pPr>
      <w:r w:rsidRPr="00054313">
        <w:rPr>
          <w:lang w:val="id-ID"/>
        </w:rPr>
        <w:t>E(Rit)</w:t>
      </w:r>
      <w:r w:rsidRPr="00054313">
        <w:rPr>
          <w:lang w:val="id-ID"/>
        </w:rPr>
        <w:tab/>
        <w:t>= Expected return of stock i in period t</w:t>
      </w:r>
    </w:p>
    <w:p w14:paraId="16140BD5" w14:textId="77777777" w:rsidR="00007E2E" w:rsidRPr="00054313" w:rsidRDefault="00007E2E" w:rsidP="00054313">
      <w:pPr>
        <w:pStyle w:val="ListParagraph"/>
        <w:rPr>
          <w:lang w:val="id-ID"/>
        </w:rPr>
      </w:pPr>
    </w:p>
    <w:p w14:paraId="57CEB979" w14:textId="1E66C1F8" w:rsidR="00007E2E" w:rsidRDefault="00376703" w:rsidP="00054313">
      <w:pPr>
        <w:pStyle w:val="ListParagraph"/>
        <w:numPr>
          <w:ilvl w:val="0"/>
          <w:numId w:val="9"/>
        </w:numPr>
        <w:ind w:left="426"/>
        <w:rPr>
          <w:lang w:val="id-ID"/>
        </w:rPr>
      </w:pPr>
      <w:r w:rsidRPr="00054313">
        <w:rPr>
          <w:lang w:val="id-ID"/>
        </w:rPr>
        <w:t>Trading Volume Activity or trading volume in this study is based on daily trading.</w:t>
      </w:r>
    </w:p>
    <w:p w14:paraId="672C0535" w14:textId="77777777" w:rsidR="00054313" w:rsidRPr="00054313" w:rsidRDefault="00054313" w:rsidP="00054313">
      <w:pPr>
        <w:pStyle w:val="ListParagraph"/>
        <w:ind w:left="426"/>
        <w:rPr>
          <w:lang w:val="id-ID"/>
        </w:rPr>
      </w:pPr>
    </w:p>
    <w:p w14:paraId="2395E7FB" w14:textId="77777777" w:rsidR="00376703" w:rsidRPr="00054313" w:rsidRDefault="00376703" w:rsidP="00054313">
      <w:pPr>
        <w:pStyle w:val="ListParagraph"/>
        <w:numPr>
          <w:ilvl w:val="0"/>
          <w:numId w:val="11"/>
        </w:numPr>
        <w:ind w:left="709"/>
        <w:rPr>
          <w:lang w:val="id-ID"/>
        </w:rPr>
      </w:pPr>
      <w:r w:rsidRPr="00054313">
        <w:rPr>
          <w:lang w:val="id-ID"/>
        </w:rPr>
        <w:t>Calculating changes in stock trading volume</w:t>
      </w:r>
    </w:p>
    <w:p w14:paraId="4725AFDA" w14:textId="1ED0B259" w:rsidR="00376703" w:rsidRDefault="00376703" w:rsidP="00054313">
      <w:pPr>
        <w:pStyle w:val="ListParagraph"/>
        <w:ind w:left="709"/>
        <w:rPr>
          <w:lang w:val="id-ID"/>
        </w:rPr>
      </w:pPr>
      <w:r w:rsidRPr="00054313">
        <w:rPr>
          <w:lang w:val="id-ID"/>
        </w:rPr>
        <w:t>(Suryawijaya and Setiawan, 1998)</w:t>
      </w:r>
    </w:p>
    <w:p w14:paraId="4756CFFB" w14:textId="77777777" w:rsidR="00054313" w:rsidRPr="00054313" w:rsidRDefault="00054313" w:rsidP="00054313">
      <w:pPr>
        <w:pStyle w:val="ListParagraph"/>
        <w:ind w:left="709"/>
        <w:rPr>
          <w:lang w:val="id-ID"/>
        </w:rPr>
      </w:pPr>
    </w:p>
    <w:p w14:paraId="71A8C665" w14:textId="301DBFCE" w:rsidR="00376703" w:rsidRPr="00054313" w:rsidRDefault="00376703" w:rsidP="00054313">
      <w:pPr>
        <w:pStyle w:val="ListParagraph"/>
        <w:ind w:left="0"/>
        <w:rPr>
          <w:sz w:val="24"/>
          <w:szCs w:val="24"/>
        </w:rPr>
      </w:pPr>
      <m:oMathPara>
        <m:oMathParaPr>
          <m:jc m:val="center"/>
        </m:oMathParaPr>
        <m:oMath>
          <m:r>
            <w:rPr>
              <w:rFonts w:ascii="Cambria Math" w:hAnsi="Cambria Math" w:cstheme="majorBidi"/>
              <w:sz w:val="24"/>
              <w:szCs w:val="24"/>
            </w:rPr>
            <m:t xml:space="preserve">TVA= </m:t>
          </m:r>
          <m:f>
            <m:fPr>
              <m:ctrlPr>
                <w:rPr>
                  <w:rFonts w:ascii="Cambria Math" w:hAnsi="Cambria Math" w:cstheme="majorBidi"/>
                  <w:i/>
                  <w:sz w:val="24"/>
                  <w:szCs w:val="24"/>
                </w:rPr>
              </m:ctrlPr>
            </m:fPr>
            <m:num>
              <m:r>
                <w:rPr>
                  <w:rFonts w:ascii="Cambria Math" w:hAnsi="Cambria Math" w:cstheme="majorBidi"/>
                  <w:sz w:val="24"/>
                  <w:szCs w:val="24"/>
                </w:rPr>
                <m:t>Number of shares that traded at time t</m:t>
              </m:r>
            </m:num>
            <m:den>
              <m:r>
                <w:rPr>
                  <w:rFonts w:ascii="Cambria Math" w:hAnsi="Cambria Math" w:cstheme="majorBidi"/>
                  <w:sz w:val="24"/>
                  <w:szCs w:val="24"/>
                </w:rPr>
                <m:t>Number of shares that outstanding at time t</m:t>
              </m:r>
            </m:den>
          </m:f>
        </m:oMath>
      </m:oMathPara>
    </w:p>
    <w:p w14:paraId="00540E6B" w14:textId="77777777" w:rsidR="00054313" w:rsidRPr="00054313" w:rsidRDefault="00054313" w:rsidP="00054313">
      <w:pPr>
        <w:pStyle w:val="ListParagraph"/>
        <w:ind w:left="709"/>
        <w:rPr>
          <w:lang w:val="id-ID"/>
        </w:rPr>
      </w:pPr>
    </w:p>
    <w:p w14:paraId="142772EC" w14:textId="77777777" w:rsidR="00376703" w:rsidRPr="00054313" w:rsidRDefault="00376703" w:rsidP="00054313">
      <w:pPr>
        <w:pStyle w:val="ListParagraph"/>
        <w:numPr>
          <w:ilvl w:val="0"/>
          <w:numId w:val="11"/>
        </w:numPr>
        <w:spacing w:before="240"/>
        <w:ind w:left="709"/>
        <w:rPr>
          <w:lang w:val="id-ID"/>
        </w:rPr>
      </w:pPr>
      <w:r w:rsidRPr="00054313">
        <w:rPr>
          <w:lang w:val="id-ID"/>
        </w:rPr>
        <w:t>Calculating the average stock trading volume</w:t>
      </w:r>
    </w:p>
    <w:p w14:paraId="2ABCFAF9" w14:textId="11E7D313" w:rsidR="00376703" w:rsidRPr="00054313" w:rsidRDefault="00376703" w:rsidP="00054313">
      <w:pPr>
        <w:pStyle w:val="ListParagraph"/>
        <w:ind w:left="0"/>
        <w:rPr>
          <w:sz w:val="24"/>
          <w:szCs w:val="24"/>
        </w:rPr>
      </w:pPr>
      <m:oMathPara>
        <m:oMathParaPr>
          <m:jc m:val="center"/>
        </m:oMathParaPr>
        <m:oMath>
          <m:r>
            <w:rPr>
              <w:rFonts w:ascii="Cambria Math" w:hAnsi="Cambria Math" w:cstheme="majorBidi"/>
              <w:sz w:val="24"/>
              <w:szCs w:val="24"/>
            </w:rPr>
            <m:t xml:space="preserve">XTVA= </m:t>
          </m:r>
          <m:f>
            <m:fPr>
              <m:ctrlPr>
                <w:rPr>
                  <w:rFonts w:ascii="Cambria Math" w:hAnsi="Cambria Math" w:cstheme="majorBidi"/>
                  <w:i/>
                  <w:sz w:val="24"/>
                  <w:szCs w:val="24"/>
                </w:rPr>
              </m:ctrlPr>
            </m:fPr>
            <m:num>
              <m:sSubSup>
                <m:sSubSupPr>
                  <m:ctrlPr>
                    <w:rPr>
                      <w:rFonts w:ascii="Cambria Math" w:hAnsi="Cambria Math" w:cstheme="majorBidi"/>
                      <w:i/>
                      <w:sz w:val="24"/>
                      <w:szCs w:val="24"/>
                    </w:rPr>
                  </m:ctrlPr>
                </m:sSubSupPr>
                <m:e>
                  <m:r>
                    <w:rPr>
                      <w:rFonts w:ascii="Cambria Math" w:hAnsi="Cambria Math" w:cstheme="majorBidi"/>
                      <w:sz w:val="24"/>
                      <w:szCs w:val="24"/>
                    </w:rPr>
                    <m:t>Ʃ</m:t>
                  </m:r>
                </m:e>
                <m:sub>
                  <m:r>
                    <w:rPr>
                      <w:rFonts w:ascii="Cambria Math" w:hAnsi="Cambria Math" w:cstheme="majorBidi"/>
                      <w:sz w:val="24"/>
                      <w:szCs w:val="24"/>
                    </w:rPr>
                    <m:t xml:space="preserve">i=1  </m:t>
                  </m:r>
                </m:sub>
                <m:sup>
                  <m:r>
                    <w:rPr>
                      <w:rFonts w:ascii="Cambria Math" w:hAnsi="Cambria Math" w:cstheme="majorBidi"/>
                      <w:sz w:val="24"/>
                      <w:szCs w:val="24"/>
                    </w:rPr>
                    <m:t>n</m:t>
                  </m:r>
                </m:sup>
              </m:sSubSup>
              <m:r>
                <w:rPr>
                  <w:rFonts w:ascii="Cambria Math" w:hAnsi="Cambria Math" w:cstheme="majorBidi"/>
                  <w:sz w:val="24"/>
                  <w:szCs w:val="24"/>
                </w:rPr>
                <m:t xml:space="preserve"> TVAI</m:t>
              </m:r>
            </m:num>
            <m:den>
              <m:r>
                <w:rPr>
                  <w:rFonts w:ascii="Cambria Math" w:hAnsi="Cambria Math" w:cstheme="majorBidi"/>
                  <w:sz w:val="24"/>
                  <w:szCs w:val="24"/>
                </w:rPr>
                <m:t>n</m:t>
              </m:r>
            </m:den>
          </m:f>
        </m:oMath>
      </m:oMathPara>
    </w:p>
    <w:p w14:paraId="059940B8" w14:textId="63548AE3" w:rsidR="00054313" w:rsidRDefault="00054313" w:rsidP="00054313">
      <w:pPr>
        <w:pStyle w:val="ListParagraph"/>
        <w:ind w:left="0"/>
        <w:rPr>
          <w:sz w:val="24"/>
          <w:szCs w:val="24"/>
        </w:rPr>
      </w:pPr>
    </w:p>
    <w:p w14:paraId="3D612193" w14:textId="5251C896" w:rsidR="00054313" w:rsidRDefault="00054313" w:rsidP="00054313">
      <w:pPr>
        <w:pStyle w:val="ListParagraph"/>
        <w:ind w:left="0"/>
        <w:rPr>
          <w:sz w:val="24"/>
          <w:szCs w:val="24"/>
        </w:rPr>
      </w:pPr>
    </w:p>
    <w:p w14:paraId="26890793" w14:textId="71F44726" w:rsidR="00054313" w:rsidRDefault="00054313" w:rsidP="00054313">
      <w:pPr>
        <w:pStyle w:val="ListParagraph"/>
        <w:ind w:left="0"/>
        <w:rPr>
          <w:sz w:val="24"/>
          <w:szCs w:val="24"/>
        </w:rPr>
      </w:pPr>
    </w:p>
    <w:p w14:paraId="435A7836" w14:textId="00C28FC1" w:rsidR="00054313" w:rsidRDefault="00054313" w:rsidP="00054313">
      <w:pPr>
        <w:pStyle w:val="ListParagraph"/>
        <w:ind w:left="0"/>
        <w:rPr>
          <w:sz w:val="24"/>
          <w:szCs w:val="24"/>
        </w:rPr>
      </w:pPr>
    </w:p>
    <w:p w14:paraId="43119450" w14:textId="77777777" w:rsidR="00054313" w:rsidRPr="00054313" w:rsidRDefault="00054313" w:rsidP="00054313">
      <w:pPr>
        <w:pStyle w:val="ListParagraph"/>
        <w:ind w:left="0"/>
        <w:rPr>
          <w:lang w:val="id-ID"/>
        </w:rPr>
      </w:pPr>
    </w:p>
    <w:p w14:paraId="790807A6" w14:textId="62989061" w:rsidR="00DF0BEE" w:rsidRPr="00054313" w:rsidRDefault="000279C2" w:rsidP="00054313">
      <w:pPr>
        <w:pStyle w:val="ListParagraph"/>
        <w:numPr>
          <w:ilvl w:val="0"/>
          <w:numId w:val="7"/>
        </w:numPr>
        <w:spacing w:before="240"/>
        <w:ind w:left="284" w:hanging="284"/>
        <w:rPr>
          <w:b/>
          <w:bCs/>
          <w:lang w:val="en"/>
        </w:rPr>
      </w:pPr>
      <w:r w:rsidRPr="00054313">
        <w:rPr>
          <w:b/>
          <w:bCs/>
          <w:lang w:val="en"/>
        </w:rPr>
        <w:lastRenderedPageBreak/>
        <w:t>Results and Discussions</w:t>
      </w:r>
    </w:p>
    <w:p w14:paraId="362F1B15" w14:textId="11F4EA14" w:rsidR="008000DA" w:rsidRPr="008000DA" w:rsidRDefault="008000DA" w:rsidP="00054313">
      <w:pPr>
        <w:rPr>
          <w:b/>
          <w:bCs/>
          <w:lang w:val="en"/>
        </w:rPr>
      </w:pPr>
      <w:r w:rsidRPr="008000DA">
        <w:rPr>
          <w:b/>
          <w:bCs/>
          <w:lang w:val="en"/>
        </w:rPr>
        <w:t>Results</w:t>
      </w:r>
    </w:p>
    <w:p w14:paraId="5B24663E" w14:textId="77777777" w:rsidR="00376703" w:rsidRPr="00376703" w:rsidRDefault="00376703" w:rsidP="00054313">
      <w:pPr>
        <w:spacing w:after="120"/>
        <w:rPr>
          <w:color w:val="000000"/>
        </w:rPr>
      </w:pPr>
      <w:r w:rsidRPr="00376703">
        <w:rPr>
          <w:color w:val="000000"/>
        </w:rPr>
        <w:t>Table 1 shows the Average Abnormal Return (AAR) values and standard deviations before and after the announcement of the BI Rate cut. The standard deviation value before the event (0.006187351) was lower than after the event (0.008945718). This indicates that the price movements of LQ45 banking stocks were relatively more stable before the announcement, but became more volatile after the policy announcement. In terms of mean value, a positive result of 0.00707662 was obtained before the event, while after the event, the value was negative at -0.00385778. This shows that the market reacted positively before the announcement, but after the announcement, it reacted negatively, indicating investor caution or a pessimistic response to the policy. Thus, on average, the market showed negative signs in abnormal returns after the event, which can be interpreted as a bad signal for investors.</w:t>
      </w:r>
    </w:p>
    <w:p w14:paraId="4B6A4CF7" w14:textId="1E733EA7" w:rsidR="00376703" w:rsidRDefault="00376703" w:rsidP="00054313">
      <w:pPr>
        <w:spacing w:after="120"/>
        <w:jc w:val="center"/>
        <w:rPr>
          <w:color w:val="000000"/>
        </w:rPr>
      </w:pPr>
      <w:r w:rsidRPr="00376703">
        <w:rPr>
          <w:color w:val="000000"/>
        </w:rPr>
        <w:t>Table 1. Descriptive Statistical Analysis of Abnormal Returns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06"/>
        <w:gridCol w:w="1493"/>
        <w:gridCol w:w="1494"/>
        <w:gridCol w:w="1475"/>
        <w:gridCol w:w="1610"/>
      </w:tblGrid>
      <w:tr w:rsidR="00376703" w:rsidRPr="00376703" w14:paraId="0FBE02E7" w14:textId="77777777" w:rsidTr="00054313">
        <w:trPr>
          <w:trHeight w:val="333"/>
        </w:trPr>
        <w:tc>
          <w:tcPr>
            <w:tcW w:w="1838" w:type="dxa"/>
            <w:tcBorders>
              <w:top w:val="single" w:sz="4" w:space="0" w:color="auto"/>
              <w:bottom w:val="single" w:sz="4" w:space="0" w:color="auto"/>
            </w:tcBorders>
          </w:tcPr>
          <w:p w14:paraId="3B1CA6AE" w14:textId="77777777" w:rsidR="00376703" w:rsidRPr="00376703" w:rsidRDefault="00376703" w:rsidP="00054313">
            <w:pPr>
              <w:jc w:val="center"/>
              <w:rPr>
                <w:color w:val="000000"/>
              </w:rPr>
            </w:pPr>
            <w:proofErr w:type="spellStart"/>
            <w:r w:rsidRPr="00376703">
              <w:rPr>
                <w:color w:val="000000"/>
              </w:rPr>
              <w:t>Variabel</w:t>
            </w:r>
            <w:proofErr w:type="spellEnd"/>
          </w:p>
        </w:tc>
        <w:tc>
          <w:tcPr>
            <w:tcW w:w="1106" w:type="dxa"/>
            <w:tcBorders>
              <w:top w:val="single" w:sz="4" w:space="0" w:color="auto"/>
              <w:bottom w:val="single" w:sz="4" w:space="0" w:color="auto"/>
            </w:tcBorders>
          </w:tcPr>
          <w:p w14:paraId="55334311" w14:textId="77777777" w:rsidR="00376703" w:rsidRPr="00376703" w:rsidRDefault="00376703" w:rsidP="00054313">
            <w:pPr>
              <w:jc w:val="center"/>
              <w:rPr>
                <w:color w:val="000000"/>
              </w:rPr>
            </w:pPr>
            <w:r w:rsidRPr="00376703">
              <w:rPr>
                <w:color w:val="000000"/>
              </w:rPr>
              <w:t>N</w:t>
            </w:r>
          </w:p>
        </w:tc>
        <w:tc>
          <w:tcPr>
            <w:tcW w:w="1493" w:type="dxa"/>
            <w:tcBorders>
              <w:top w:val="single" w:sz="4" w:space="0" w:color="auto"/>
              <w:bottom w:val="single" w:sz="4" w:space="0" w:color="auto"/>
            </w:tcBorders>
          </w:tcPr>
          <w:p w14:paraId="2AA0C58F" w14:textId="77777777" w:rsidR="00376703" w:rsidRPr="00376703" w:rsidRDefault="00376703" w:rsidP="00054313">
            <w:pPr>
              <w:jc w:val="center"/>
              <w:rPr>
                <w:color w:val="000000"/>
              </w:rPr>
            </w:pPr>
            <w:r w:rsidRPr="00376703">
              <w:rPr>
                <w:color w:val="000000"/>
              </w:rPr>
              <w:t>Minimum</w:t>
            </w:r>
          </w:p>
        </w:tc>
        <w:tc>
          <w:tcPr>
            <w:tcW w:w="1494" w:type="dxa"/>
            <w:tcBorders>
              <w:top w:val="single" w:sz="4" w:space="0" w:color="auto"/>
              <w:bottom w:val="single" w:sz="4" w:space="0" w:color="auto"/>
            </w:tcBorders>
          </w:tcPr>
          <w:p w14:paraId="74C7C561" w14:textId="77777777" w:rsidR="00376703" w:rsidRPr="00376703" w:rsidRDefault="00376703" w:rsidP="00054313">
            <w:pPr>
              <w:jc w:val="center"/>
              <w:rPr>
                <w:color w:val="000000"/>
              </w:rPr>
            </w:pPr>
            <w:r w:rsidRPr="00376703">
              <w:rPr>
                <w:color w:val="000000"/>
              </w:rPr>
              <w:t>Maximum</w:t>
            </w:r>
          </w:p>
        </w:tc>
        <w:tc>
          <w:tcPr>
            <w:tcW w:w="1475" w:type="dxa"/>
            <w:tcBorders>
              <w:top w:val="single" w:sz="4" w:space="0" w:color="auto"/>
              <w:bottom w:val="single" w:sz="4" w:space="0" w:color="auto"/>
            </w:tcBorders>
          </w:tcPr>
          <w:p w14:paraId="2EEC108D" w14:textId="77777777" w:rsidR="00376703" w:rsidRPr="00376703" w:rsidRDefault="00376703" w:rsidP="00054313">
            <w:pPr>
              <w:jc w:val="center"/>
              <w:rPr>
                <w:color w:val="000000"/>
              </w:rPr>
            </w:pPr>
            <w:r w:rsidRPr="00376703">
              <w:rPr>
                <w:color w:val="000000"/>
              </w:rPr>
              <w:t>Mean</w:t>
            </w:r>
          </w:p>
        </w:tc>
        <w:tc>
          <w:tcPr>
            <w:tcW w:w="1610" w:type="dxa"/>
            <w:tcBorders>
              <w:top w:val="single" w:sz="4" w:space="0" w:color="auto"/>
              <w:bottom w:val="single" w:sz="4" w:space="0" w:color="auto"/>
            </w:tcBorders>
          </w:tcPr>
          <w:p w14:paraId="3143C3DF" w14:textId="77777777" w:rsidR="00376703" w:rsidRPr="00376703" w:rsidRDefault="00376703" w:rsidP="00054313">
            <w:pPr>
              <w:jc w:val="center"/>
              <w:rPr>
                <w:color w:val="000000"/>
              </w:rPr>
            </w:pPr>
            <w:proofErr w:type="spellStart"/>
            <w:r w:rsidRPr="00376703">
              <w:rPr>
                <w:color w:val="000000"/>
              </w:rPr>
              <w:t>Std.Deviation</w:t>
            </w:r>
            <w:proofErr w:type="spellEnd"/>
          </w:p>
        </w:tc>
      </w:tr>
      <w:tr w:rsidR="00376703" w:rsidRPr="00376703" w14:paraId="02BCCCE6" w14:textId="77777777" w:rsidTr="00604A32">
        <w:tc>
          <w:tcPr>
            <w:tcW w:w="1838" w:type="dxa"/>
            <w:tcBorders>
              <w:top w:val="single" w:sz="4" w:space="0" w:color="auto"/>
            </w:tcBorders>
          </w:tcPr>
          <w:p w14:paraId="078216F0" w14:textId="29E767A0" w:rsidR="00376703" w:rsidRPr="00376703" w:rsidRDefault="00376703" w:rsidP="00054313">
            <w:pPr>
              <w:jc w:val="center"/>
              <w:rPr>
                <w:color w:val="000000"/>
              </w:rPr>
            </w:pPr>
            <w:r w:rsidRPr="00376703">
              <w:rPr>
                <w:color w:val="000000"/>
              </w:rPr>
              <w:t xml:space="preserve">AAR </w:t>
            </w:r>
            <w:r>
              <w:rPr>
                <w:color w:val="000000"/>
              </w:rPr>
              <w:t>Before</w:t>
            </w:r>
          </w:p>
        </w:tc>
        <w:tc>
          <w:tcPr>
            <w:tcW w:w="1106" w:type="dxa"/>
            <w:tcBorders>
              <w:top w:val="single" w:sz="4" w:space="0" w:color="auto"/>
            </w:tcBorders>
          </w:tcPr>
          <w:p w14:paraId="24B69F73" w14:textId="77777777" w:rsidR="00376703" w:rsidRPr="00376703" w:rsidRDefault="00376703" w:rsidP="00054313">
            <w:pPr>
              <w:jc w:val="center"/>
              <w:rPr>
                <w:color w:val="000000"/>
              </w:rPr>
            </w:pPr>
            <w:r w:rsidRPr="00376703">
              <w:rPr>
                <w:color w:val="000000"/>
              </w:rPr>
              <w:t>7</w:t>
            </w:r>
          </w:p>
        </w:tc>
        <w:tc>
          <w:tcPr>
            <w:tcW w:w="1493" w:type="dxa"/>
            <w:tcBorders>
              <w:top w:val="single" w:sz="4" w:space="0" w:color="auto"/>
            </w:tcBorders>
          </w:tcPr>
          <w:p w14:paraId="0D0FC357" w14:textId="77777777" w:rsidR="00376703" w:rsidRPr="00376703" w:rsidRDefault="00376703" w:rsidP="00054313">
            <w:pPr>
              <w:jc w:val="center"/>
              <w:rPr>
                <w:color w:val="000000"/>
              </w:rPr>
            </w:pPr>
            <w:r w:rsidRPr="00376703">
              <w:rPr>
                <w:color w:val="000000"/>
              </w:rPr>
              <w:t>-0.000365</w:t>
            </w:r>
          </w:p>
        </w:tc>
        <w:tc>
          <w:tcPr>
            <w:tcW w:w="1494" w:type="dxa"/>
            <w:tcBorders>
              <w:top w:val="single" w:sz="4" w:space="0" w:color="auto"/>
            </w:tcBorders>
          </w:tcPr>
          <w:p w14:paraId="30C59BCD" w14:textId="77777777" w:rsidR="00376703" w:rsidRPr="00376703" w:rsidRDefault="00376703" w:rsidP="00054313">
            <w:pPr>
              <w:jc w:val="center"/>
              <w:rPr>
                <w:color w:val="000000"/>
              </w:rPr>
            </w:pPr>
            <w:r w:rsidRPr="00376703">
              <w:rPr>
                <w:color w:val="000000"/>
              </w:rPr>
              <w:t>0.018264</w:t>
            </w:r>
          </w:p>
        </w:tc>
        <w:tc>
          <w:tcPr>
            <w:tcW w:w="1475" w:type="dxa"/>
            <w:tcBorders>
              <w:top w:val="single" w:sz="4" w:space="0" w:color="auto"/>
            </w:tcBorders>
          </w:tcPr>
          <w:p w14:paraId="27F6CDFB" w14:textId="77777777" w:rsidR="00376703" w:rsidRPr="00376703" w:rsidRDefault="00376703" w:rsidP="00054313">
            <w:pPr>
              <w:jc w:val="center"/>
              <w:rPr>
                <w:color w:val="000000"/>
              </w:rPr>
            </w:pPr>
            <w:r w:rsidRPr="00376703">
              <w:rPr>
                <w:color w:val="000000"/>
              </w:rPr>
              <w:t>0.00707662</w:t>
            </w:r>
          </w:p>
        </w:tc>
        <w:tc>
          <w:tcPr>
            <w:tcW w:w="1610" w:type="dxa"/>
            <w:tcBorders>
              <w:top w:val="single" w:sz="4" w:space="0" w:color="auto"/>
            </w:tcBorders>
          </w:tcPr>
          <w:p w14:paraId="4248ED1A" w14:textId="77777777" w:rsidR="00376703" w:rsidRPr="00376703" w:rsidRDefault="00376703" w:rsidP="00054313">
            <w:pPr>
              <w:jc w:val="center"/>
              <w:rPr>
                <w:color w:val="000000"/>
              </w:rPr>
            </w:pPr>
            <w:r w:rsidRPr="00376703">
              <w:rPr>
                <w:color w:val="000000"/>
              </w:rPr>
              <w:t>0.006187351</w:t>
            </w:r>
          </w:p>
        </w:tc>
      </w:tr>
      <w:tr w:rsidR="00376703" w:rsidRPr="00376703" w14:paraId="1142EC3D" w14:textId="77777777" w:rsidTr="00054313">
        <w:tc>
          <w:tcPr>
            <w:tcW w:w="1838" w:type="dxa"/>
            <w:tcBorders>
              <w:bottom w:val="single" w:sz="4" w:space="0" w:color="auto"/>
            </w:tcBorders>
          </w:tcPr>
          <w:p w14:paraId="200D4DDA" w14:textId="0EDA389A" w:rsidR="00376703" w:rsidRPr="00376703" w:rsidRDefault="00376703" w:rsidP="00054313">
            <w:pPr>
              <w:jc w:val="center"/>
              <w:rPr>
                <w:color w:val="000000"/>
              </w:rPr>
            </w:pPr>
            <w:r w:rsidRPr="00376703">
              <w:rPr>
                <w:color w:val="000000"/>
              </w:rPr>
              <w:t xml:space="preserve">AAR </w:t>
            </w:r>
            <w:r>
              <w:rPr>
                <w:color w:val="000000"/>
              </w:rPr>
              <w:t>After</w:t>
            </w:r>
          </w:p>
        </w:tc>
        <w:tc>
          <w:tcPr>
            <w:tcW w:w="1106" w:type="dxa"/>
            <w:tcBorders>
              <w:bottom w:val="single" w:sz="4" w:space="0" w:color="auto"/>
            </w:tcBorders>
          </w:tcPr>
          <w:p w14:paraId="397063D0" w14:textId="77777777" w:rsidR="00376703" w:rsidRPr="00376703" w:rsidRDefault="00376703" w:rsidP="00054313">
            <w:pPr>
              <w:jc w:val="center"/>
              <w:rPr>
                <w:color w:val="000000"/>
              </w:rPr>
            </w:pPr>
            <w:r w:rsidRPr="00376703">
              <w:rPr>
                <w:color w:val="000000"/>
              </w:rPr>
              <w:t>7</w:t>
            </w:r>
          </w:p>
        </w:tc>
        <w:tc>
          <w:tcPr>
            <w:tcW w:w="1493" w:type="dxa"/>
            <w:tcBorders>
              <w:bottom w:val="single" w:sz="4" w:space="0" w:color="auto"/>
            </w:tcBorders>
          </w:tcPr>
          <w:p w14:paraId="27B1F536" w14:textId="77777777" w:rsidR="00376703" w:rsidRPr="00376703" w:rsidRDefault="00376703" w:rsidP="00054313">
            <w:pPr>
              <w:jc w:val="center"/>
              <w:rPr>
                <w:color w:val="000000"/>
              </w:rPr>
            </w:pPr>
            <w:r w:rsidRPr="00376703">
              <w:rPr>
                <w:color w:val="000000"/>
              </w:rPr>
              <w:t>-0.019515</w:t>
            </w:r>
          </w:p>
        </w:tc>
        <w:tc>
          <w:tcPr>
            <w:tcW w:w="1494" w:type="dxa"/>
            <w:tcBorders>
              <w:bottom w:val="single" w:sz="4" w:space="0" w:color="auto"/>
            </w:tcBorders>
          </w:tcPr>
          <w:p w14:paraId="7118D981" w14:textId="77777777" w:rsidR="00376703" w:rsidRPr="00376703" w:rsidRDefault="00376703" w:rsidP="00054313">
            <w:pPr>
              <w:jc w:val="center"/>
              <w:rPr>
                <w:color w:val="000000"/>
              </w:rPr>
            </w:pPr>
            <w:r w:rsidRPr="00376703">
              <w:rPr>
                <w:color w:val="000000"/>
              </w:rPr>
              <w:t>0.008439</w:t>
            </w:r>
          </w:p>
        </w:tc>
        <w:tc>
          <w:tcPr>
            <w:tcW w:w="1475" w:type="dxa"/>
            <w:tcBorders>
              <w:bottom w:val="single" w:sz="4" w:space="0" w:color="auto"/>
            </w:tcBorders>
          </w:tcPr>
          <w:p w14:paraId="615D0F3D" w14:textId="77777777" w:rsidR="00376703" w:rsidRPr="00376703" w:rsidRDefault="00376703" w:rsidP="00054313">
            <w:pPr>
              <w:jc w:val="center"/>
              <w:rPr>
                <w:color w:val="000000"/>
              </w:rPr>
            </w:pPr>
            <w:r w:rsidRPr="00376703">
              <w:rPr>
                <w:color w:val="000000"/>
              </w:rPr>
              <w:t>-0.00385778</w:t>
            </w:r>
          </w:p>
        </w:tc>
        <w:tc>
          <w:tcPr>
            <w:tcW w:w="1610" w:type="dxa"/>
            <w:tcBorders>
              <w:bottom w:val="single" w:sz="4" w:space="0" w:color="auto"/>
            </w:tcBorders>
          </w:tcPr>
          <w:p w14:paraId="4A1E8E39" w14:textId="77777777" w:rsidR="00376703" w:rsidRPr="00376703" w:rsidRDefault="00376703" w:rsidP="00054313">
            <w:pPr>
              <w:jc w:val="center"/>
              <w:rPr>
                <w:color w:val="000000"/>
              </w:rPr>
            </w:pPr>
            <w:r w:rsidRPr="00376703">
              <w:rPr>
                <w:color w:val="000000"/>
              </w:rPr>
              <w:t>0.008945718</w:t>
            </w:r>
          </w:p>
        </w:tc>
      </w:tr>
    </w:tbl>
    <w:p w14:paraId="5660DC8B" w14:textId="1E9D75D0" w:rsidR="008000DA" w:rsidRDefault="008000DA" w:rsidP="00054313">
      <w:pPr>
        <w:spacing w:before="240"/>
        <w:rPr>
          <w:color w:val="000000"/>
          <w:lang w:val="en"/>
        </w:rPr>
      </w:pPr>
      <w:r w:rsidRPr="008000DA">
        <w:rPr>
          <w:color w:val="000000"/>
          <w:lang w:val="en"/>
        </w:rPr>
        <w:t>Based on Figure 1, the Average Abnormal Return (AAR) of banking stocks included in the LQ45 index during the period of the BI Rate cut announcement shows significant fluctuations before and after the announcement date (t-0). At t-5, the AAR was at its highest level of around 0.025, then experienced a sharp decline to a negative value at t-3. Approaching the announcement date (t-2 to t-0), the AAR rose again, albeit on a small scale, and stabilized at a positive value. After the announcement (t+1 to t+4), the AAR moved back into negative territory, albeit relatively small, then showed a slight recovery at t+5. This pattern indicates that the market reacted quite strongly before the announcement, but after the announcement the reaction tended to subside with lower fluctuations.</w:t>
      </w:r>
    </w:p>
    <w:p w14:paraId="49C5323B" w14:textId="4B2387BE" w:rsidR="00376703" w:rsidRDefault="00376703" w:rsidP="00054313">
      <w:pPr>
        <w:spacing w:after="120"/>
        <w:jc w:val="center"/>
        <w:rPr>
          <w:color w:val="000000"/>
        </w:rPr>
      </w:pPr>
      <w:r>
        <w:rPr>
          <w:noProof/>
        </w:rPr>
        <w:drawing>
          <wp:inline distT="0" distB="0" distL="0" distR="0" wp14:anchorId="2D1B5B2B" wp14:editId="46F85348">
            <wp:extent cx="3937000" cy="2070100"/>
            <wp:effectExtent l="0" t="0" r="6350" b="6350"/>
            <wp:docPr id="790491096" name="Chart 1">
              <a:extLst xmlns:a="http://schemas.openxmlformats.org/drawingml/2006/main">
                <a:ext uri="{FF2B5EF4-FFF2-40B4-BE49-F238E27FC236}">
                  <a16:creationId xmlns:a16="http://schemas.microsoft.com/office/drawing/2014/main" id="{B63AFF4C-FE25-7F8D-58C5-7CE30D795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73681A" w14:textId="77777777" w:rsidR="008000DA" w:rsidRPr="008000DA" w:rsidRDefault="008000DA" w:rsidP="00054313">
      <w:pPr>
        <w:spacing w:after="120"/>
        <w:jc w:val="center"/>
        <w:rPr>
          <w:color w:val="000000"/>
        </w:rPr>
      </w:pPr>
      <w:r w:rsidRPr="008000DA">
        <w:rPr>
          <w:color w:val="000000"/>
        </w:rPr>
        <w:t>Figure 1. Average Abnormal Return of Bi Rate Cut Announcement</w:t>
      </w:r>
    </w:p>
    <w:p w14:paraId="496D8D81" w14:textId="77777777" w:rsidR="008000DA" w:rsidRDefault="008000DA" w:rsidP="00054313">
      <w:pPr>
        <w:jc w:val="lowKashida"/>
        <w:rPr>
          <w:color w:val="000000"/>
        </w:rPr>
      </w:pPr>
      <w:r w:rsidRPr="008000DA">
        <w:rPr>
          <w:color w:val="000000"/>
        </w:rPr>
        <w:t>Based on the results of descriptive statistical analysis for the Average Trading Volume Activity (ATVA) variable presented in Table 2, there was a striking difference between the periods before and after the bi rate cut announcement. In the period before the announcement, the mean value of ATVA was recorded at 0.75698060, with a minimum value of 0.303191 and a maximum value of 1.450237. The data distribution in this period was relatively wider, as indicated by a higher standard deviation value of 0.430295003. Conversely, in the period after the announcement, the average ATVA decreased significantly to 0.43933497, indicating a decline in trading volume activity. This decline was also accompanied by a more concentrated data distribution, as indicated by a drastic decrease in the standard deviation to 0.164702013, as well as a narrower data range with a minimum value of 0.259874 and a maximum value of 0.746791. Thus, descriptively, these results show that the announcement of a bi rate cut does not directly increase trading volume, but rather correlates with a decline in trading activity, as indicated by a decrease in the average ATVA and reduced trading volume volatility.</w:t>
      </w:r>
    </w:p>
    <w:p w14:paraId="24448152" w14:textId="3130EA69" w:rsidR="008000DA" w:rsidRDefault="008000DA" w:rsidP="00054313">
      <w:pPr>
        <w:spacing w:after="120"/>
        <w:jc w:val="center"/>
        <w:rPr>
          <w:color w:val="000000"/>
        </w:rPr>
      </w:pPr>
      <w:r w:rsidRPr="008000DA">
        <w:rPr>
          <w:color w:val="000000"/>
        </w:rPr>
        <w:lastRenderedPageBreak/>
        <w:t>Table 2. Descriptive Statistical Analysis of Trading Volume Activity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06"/>
        <w:gridCol w:w="1493"/>
        <w:gridCol w:w="1494"/>
        <w:gridCol w:w="1475"/>
        <w:gridCol w:w="1610"/>
      </w:tblGrid>
      <w:tr w:rsidR="008000DA" w:rsidRPr="008000DA" w14:paraId="42FA8770" w14:textId="77777777" w:rsidTr="00054313">
        <w:tc>
          <w:tcPr>
            <w:tcW w:w="1838" w:type="dxa"/>
            <w:tcBorders>
              <w:top w:val="single" w:sz="4" w:space="0" w:color="auto"/>
              <w:bottom w:val="single" w:sz="4" w:space="0" w:color="auto"/>
            </w:tcBorders>
          </w:tcPr>
          <w:p w14:paraId="36CEAB2F" w14:textId="77777777" w:rsidR="008000DA" w:rsidRPr="008000DA" w:rsidRDefault="008000DA" w:rsidP="00054313">
            <w:pPr>
              <w:jc w:val="center"/>
              <w:rPr>
                <w:color w:val="000000"/>
              </w:rPr>
            </w:pPr>
            <w:proofErr w:type="spellStart"/>
            <w:r w:rsidRPr="008000DA">
              <w:rPr>
                <w:color w:val="000000"/>
              </w:rPr>
              <w:t>Variabel</w:t>
            </w:r>
            <w:proofErr w:type="spellEnd"/>
          </w:p>
        </w:tc>
        <w:tc>
          <w:tcPr>
            <w:tcW w:w="1106" w:type="dxa"/>
            <w:tcBorders>
              <w:top w:val="single" w:sz="4" w:space="0" w:color="auto"/>
              <w:bottom w:val="single" w:sz="4" w:space="0" w:color="auto"/>
            </w:tcBorders>
          </w:tcPr>
          <w:p w14:paraId="3189F275" w14:textId="77777777" w:rsidR="008000DA" w:rsidRPr="008000DA" w:rsidRDefault="008000DA" w:rsidP="00054313">
            <w:pPr>
              <w:jc w:val="center"/>
              <w:rPr>
                <w:color w:val="000000"/>
              </w:rPr>
            </w:pPr>
            <w:r w:rsidRPr="008000DA">
              <w:rPr>
                <w:color w:val="000000"/>
              </w:rPr>
              <w:t>N</w:t>
            </w:r>
          </w:p>
        </w:tc>
        <w:tc>
          <w:tcPr>
            <w:tcW w:w="1493" w:type="dxa"/>
            <w:tcBorders>
              <w:top w:val="single" w:sz="4" w:space="0" w:color="auto"/>
              <w:bottom w:val="single" w:sz="4" w:space="0" w:color="auto"/>
            </w:tcBorders>
          </w:tcPr>
          <w:p w14:paraId="142737D1" w14:textId="77777777" w:rsidR="008000DA" w:rsidRPr="008000DA" w:rsidRDefault="008000DA" w:rsidP="00054313">
            <w:pPr>
              <w:jc w:val="center"/>
              <w:rPr>
                <w:color w:val="000000"/>
              </w:rPr>
            </w:pPr>
            <w:r w:rsidRPr="008000DA">
              <w:rPr>
                <w:color w:val="000000"/>
              </w:rPr>
              <w:t>Minimum</w:t>
            </w:r>
          </w:p>
        </w:tc>
        <w:tc>
          <w:tcPr>
            <w:tcW w:w="1494" w:type="dxa"/>
            <w:tcBorders>
              <w:top w:val="single" w:sz="4" w:space="0" w:color="auto"/>
              <w:bottom w:val="single" w:sz="4" w:space="0" w:color="auto"/>
            </w:tcBorders>
          </w:tcPr>
          <w:p w14:paraId="3F950114" w14:textId="77777777" w:rsidR="008000DA" w:rsidRPr="008000DA" w:rsidRDefault="008000DA" w:rsidP="00054313">
            <w:pPr>
              <w:jc w:val="center"/>
              <w:rPr>
                <w:color w:val="000000"/>
              </w:rPr>
            </w:pPr>
            <w:r w:rsidRPr="008000DA">
              <w:rPr>
                <w:color w:val="000000"/>
              </w:rPr>
              <w:t>Maximum</w:t>
            </w:r>
          </w:p>
        </w:tc>
        <w:tc>
          <w:tcPr>
            <w:tcW w:w="1475" w:type="dxa"/>
            <w:tcBorders>
              <w:top w:val="single" w:sz="4" w:space="0" w:color="auto"/>
              <w:bottom w:val="single" w:sz="4" w:space="0" w:color="auto"/>
            </w:tcBorders>
          </w:tcPr>
          <w:p w14:paraId="52571FED" w14:textId="77777777" w:rsidR="008000DA" w:rsidRPr="008000DA" w:rsidRDefault="008000DA" w:rsidP="00054313">
            <w:pPr>
              <w:jc w:val="center"/>
              <w:rPr>
                <w:color w:val="000000"/>
              </w:rPr>
            </w:pPr>
            <w:r w:rsidRPr="008000DA">
              <w:rPr>
                <w:color w:val="000000"/>
              </w:rPr>
              <w:t>Mean</w:t>
            </w:r>
          </w:p>
        </w:tc>
        <w:tc>
          <w:tcPr>
            <w:tcW w:w="1610" w:type="dxa"/>
            <w:tcBorders>
              <w:top w:val="single" w:sz="4" w:space="0" w:color="auto"/>
              <w:bottom w:val="single" w:sz="4" w:space="0" w:color="auto"/>
            </w:tcBorders>
          </w:tcPr>
          <w:p w14:paraId="7370A1C2" w14:textId="77777777" w:rsidR="008000DA" w:rsidRPr="008000DA" w:rsidRDefault="008000DA" w:rsidP="00054313">
            <w:pPr>
              <w:jc w:val="center"/>
              <w:rPr>
                <w:color w:val="000000"/>
              </w:rPr>
            </w:pPr>
            <w:proofErr w:type="spellStart"/>
            <w:r w:rsidRPr="008000DA">
              <w:rPr>
                <w:color w:val="000000"/>
              </w:rPr>
              <w:t>Std.Deviation</w:t>
            </w:r>
            <w:proofErr w:type="spellEnd"/>
          </w:p>
        </w:tc>
      </w:tr>
      <w:tr w:rsidR="008000DA" w:rsidRPr="008000DA" w14:paraId="76B9EF12" w14:textId="77777777" w:rsidTr="00604A32">
        <w:tc>
          <w:tcPr>
            <w:tcW w:w="1838" w:type="dxa"/>
            <w:tcBorders>
              <w:top w:val="single" w:sz="4" w:space="0" w:color="auto"/>
            </w:tcBorders>
          </w:tcPr>
          <w:p w14:paraId="202AA630" w14:textId="0903331F" w:rsidR="008000DA" w:rsidRPr="008000DA" w:rsidRDefault="008000DA" w:rsidP="00054313">
            <w:pPr>
              <w:jc w:val="center"/>
              <w:rPr>
                <w:color w:val="000000"/>
              </w:rPr>
            </w:pPr>
            <w:r w:rsidRPr="008000DA">
              <w:rPr>
                <w:color w:val="000000"/>
              </w:rPr>
              <w:t>ATVA Before</w:t>
            </w:r>
          </w:p>
        </w:tc>
        <w:tc>
          <w:tcPr>
            <w:tcW w:w="1106" w:type="dxa"/>
            <w:tcBorders>
              <w:top w:val="single" w:sz="4" w:space="0" w:color="auto"/>
            </w:tcBorders>
          </w:tcPr>
          <w:p w14:paraId="1F363264" w14:textId="77777777" w:rsidR="008000DA" w:rsidRPr="008000DA" w:rsidRDefault="008000DA" w:rsidP="00054313">
            <w:pPr>
              <w:jc w:val="center"/>
              <w:rPr>
                <w:color w:val="000000"/>
              </w:rPr>
            </w:pPr>
            <w:r w:rsidRPr="008000DA">
              <w:rPr>
                <w:color w:val="000000"/>
              </w:rPr>
              <w:t>7</w:t>
            </w:r>
          </w:p>
        </w:tc>
        <w:tc>
          <w:tcPr>
            <w:tcW w:w="1493" w:type="dxa"/>
            <w:tcBorders>
              <w:top w:val="single" w:sz="4" w:space="0" w:color="auto"/>
            </w:tcBorders>
          </w:tcPr>
          <w:p w14:paraId="7D37ED95" w14:textId="77777777" w:rsidR="008000DA" w:rsidRPr="008000DA" w:rsidRDefault="008000DA" w:rsidP="00054313">
            <w:pPr>
              <w:jc w:val="center"/>
              <w:rPr>
                <w:color w:val="000000"/>
              </w:rPr>
            </w:pPr>
            <w:r w:rsidRPr="008000DA">
              <w:rPr>
                <w:color w:val="000000"/>
              </w:rPr>
              <w:t>0.303191</w:t>
            </w:r>
          </w:p>
        </w:tc>
        <w:tc>
          <w:tcPr>
            <w:tcW w:w="1494" w:type="dxa"/>
            <w:tcBorders>
              <w:top w:val="single" w:sz="4" w:space="0" w:color="auto"/>
            </w:tcBorders>
          </w:tcPr>
          <w:p w14:paraId="65A2635D" w14:textId="77777777" w:rsidR="008000DA" w:rsidRPr="008000DA" w:rsidRDefault="008000DA" w:rsidP="00054313">
            <w:pPr>
              <w:jc w:val="center"/>
              <w:rPr>
                <w:color w:val="000000"/>
              </w:rPr>
            </w:pPr>
            <w:r w:rsidRPr="008000DA">
              <w:rPr>
                <w:color w:val="000000"/>
              </w:rPr>
              <w:t>1.450237</w:t>
            </w:r>
          </w:p>
        </w:tc>
        <w:tc>
          <w:tcPr>
            <w:tcW w:w="1475" w:type="dxa"/>
            <w:tcBorders>
              <w:top w:val="single" w:sz="4" w:space="0" w:color="auto"/>
            </w:tcBorders>
          </w:tcPr>
          <w:p w14:paraId="21CAD8E7" w14:textId="77777777" w:rsidR="008000DA" w:rsidRPr="008000DA" w:rsidRDefault="008000DA" w:rsidP="00054313">
            <w:pPr>
              <w:jc w:val="center"/>
              <w:rPr>
                <w:color w:val="000000"/>
              </w:rPr>
            </w:pPr>
            <w:r w:rsidRPr="008000DA">
              <w:rPr>
                <w:color w:val="000000"/>
              </w:rPr>
              <w:t>0.75698060</w:t>
            </w:r>
          </w:p>
        </w:tc>
        <w:tc>
          <w:tcPr>
            <w:tcW w:w="1610" w:type="dxa"/>
            <w:tcBorders>
              <w:top w:val="single" w:sz="4" w:space="0" w:color="auto"/>
            </w:tcBorders>
          </w:tcPr>
          <w:p w14:paraId="7DEFE1E4" w14:textId="77777777" w:rsidR="008000DA" w:rsidRPr="008000DA" w:rsidRDefault="008000DA" w:rsidP="00054313">
            <w:pPr>
              <w:jc w:val="center"/>
              <w:rPr>
                <w:color w:val="000000"/>
              </w:rPr>
            </w:pPr>
            <w:r w:rsidRPr="008000DA">
              <w:rPr>
                <w:color w:val="000000"/>
              </w:rPr>
              <w:t>0.430295003</w:t>
            </w:r>
          </w:p>
        </w:tc>
      </w:tr>
      <w:tr w:rsidR="008000DA" w:rsidRPr="008000DA" w14:paraId="15073D89" w14:textId="77777777" w:rsidTr="00054313">
        <w:tc>
          <w:tcPr>
            <w:tcW w:w="1838" w:type="dxa"/>
            <w:tcBorders>
              <w:bottom w:val="single" w:sz="4" w:space="0" w:color="auto"/>
            </w:tcBorders>
          </w:tcPr>
          <w:p w14:paraId="5615807F" w14:textId="2431FB8B" w:rsidR="008000DA" w:rsidRPr="008000DA" w:rsidRDefault="008000DA" w:rsidP="00054313">
            <w:pPr>
              <w:jc w:val="center"/>
              <w:rPr>
                <w:color w:val="000000"/>
              </w:rPr>
            </w:pPr>
            <w:r w:rsidRPr="008000DA">
              <w:rPr>
                <w:color w:val="000000"/>
              </w:rPr>
              <w:t>ATVA After</w:t>
            </w:r>
          </w:p>
        </w:tc>
        <w:tc>
          <w:tcPr>
            <w:tcW w:w="1106" w:type="dxa"/>
            <w:tcBorders>
              <w:bottom w:val="single" w:sz="4" w:space="0" w:color="auto"/>
            </w:tcBorders>
          </w:tcPr>
          <w:p w14:paraId="11EF64D3" w14:textId="77777777" w:rsidR="008000DA" w:rsidRPr="008000DA" w:rsidRDefault="008000DA" w:rsidP="00054313">
            <w:pPr>
              <w:jc w:val="center"/>
              <w:rPr>
                <w:color w:val="000000"/>
              </w:rPr>
            </w:pPr>
            <w:r w:rsidRPr="008000DA">
              <w:rPr>
                <w:color w:val="000000"/>
              </w:rPr>
              <w:t>7</w:t>
            </w:r>
          </w:p>
        </w:tc>
        <w:tc>
          <w:tcPr>
            <w:tcW w:w="1493" w:type="dxa"/>
            <w:tcBorders>
              <w:bottom w:val="single" w:sz="4" w:space="0" w:color="auto"/>
            </w:tcBorders>
          </w:tcPr>
          <w:p w14:paraId="27FBC094" w14:textId="77777777" w:rsidR="008000DA" w:rsidRPr="008000DA" w:rsidRDefault="008000DA" w:rsidP="00054313">
            <w:pPr>
              <w:jc w:val="center"/>
              <w:rPr>
                <w:color w:val="000000"/>
              </w:rPr>
            </w:pPr>
            <w:r w:rsidRPr="008000DA">
              <w:rPr>
                <w:color w:val="000000"/>
              </w:rPr>
              <w:t>0.259874</w:t>
            </w:r>
          </w:p>
        </w:tc>
        <w:tc>
          <w:tcPr>
            <w:tcW w:w="1494" w:type="dxa"/>
            <w:tcBorders>
              <w:bottom w:val="single" w:sz="4" w:space="0" w:color="auto"/>
            </w:tcBorders>
          </w:tcPr>
          <w:p w14:paraId="0017C403" w14:textId="77777777" w:rsidR="008000DA" w:rsidRPr="008000DA" w:rsidRDefault="008000DA" w:rsidP="00054313">
            <w:pPr>
              <w:jc w:val="center"/>
              <w:rPr>
                <w:color w:val="000000"/>
              </w:rPr>
            </w:pPr>
            <w:r w:rsidRPr="008000DA">
              <w:rPr>
                <w:color w:val="000000"/>
              </w:rPr>
              <w:t>0.746791</w:t>
            </w:r>
          </w:p>
        </w:tc>
        <w:tc>
          <w:tcPr>
            <w:tcW w:w="1475" w:type="dxa"/>
            <w:tcBorders>
              <w:bottom w:val="single" w:sz="4" w:space="0" w:color="auto"/>
            </w:tcBorders>
          </w:tcPr>
          <w:p w14:paraId="2AC75D31" w14:textId="77777777" w:rsidR="008000DA" w:rsidRPr="008000DA" w:rsidRDefault="008000DA" w:rsidP="00054313">
            <w:pPr>
              <w:jc w:val="center"/>
              <w:rPr>
                <w:color w:val="000000"/>
              </w:rPr>
            </w:pPr>
            <w:r w:rsidRPr="008000DA">
              <w:rPr>
                <w:color w:val="000000"/>
              </w:rPr>
              <w:t>0.43933497</w:t>
            </w:r>
          </w:p>
        </w:tc>
        <w:tc>
          <w:tcPr>
            <w:tcW w:w="1610" w:type="dxa"/>
            <w:tcBorders>
              <w:bottom w:val="single" w:sz="4" w:space="0" w:color="auto"/>
            </w:tcBorders>
          </w:tcPr>
          <w:p w14:paraId="3D4ED9D3" w14:textId="77777777" w:rsidR="008000DA" w:rsidRPr="008000DA" w:rsidRDefault="008000DA" w:rsidP="00054313">
            <w:pPr>
              <w:jc w:val="center"/>
              <w:rPr>
                <w:color w:val="000000"/>
              </w:rPr>
            </w:pPr>
            <w:r w:rsidRPr="008000DA">
              <w:rPr>
                <w:color w:val="000000"/>
              </w:rPr>
              <w:t>0.164702013</w:t>
            </w:r>
          </w:p>
        </w:tc>
      </w:tr>
    </w:tbl>
    <w:p w14:paraId="28F5911D" w14:textId="680C573C" w:rsidR="008000DA" w:rsidRDefault="008000DA" w:rsidP="00054313">
      <w:pPr>
        <w:spacing w:before="240"/>
        <w:jc w:val="lowKashida"/>
        <w:rPr>
          <w:color w:val="000000"/>
        </w:rPr>
      </w:pPr>
      <w:r w:rsidRPr="008000DA">
        <w:rPr>
          <w:color w:val="000000"/>
        </w:rPr>
        <w:t>Based on Figure 2, which presents the results of Average Trading Volume Activity calculations for the five days before and after the announcement of the bi rate cut (t=0), there was fluctuating movement but with a clear pattern. In general, trading volume activity shows a downward trend leading up to the announcement day. ATVA is at its highest level at t-5 and continues to decline until it reaches its lowest point at t+2. This sharp decline indicates that trading volume tends to decrease significantly immediately after the policy is announced, indicating a market response that tends to be cautious or wait-and-see. After passing the lowest point, trading activity began to show signs of recovery, albeit with a gradual increase at t+3, t+4, and t+5. This pattern descriptively illustrates that the announcement of the bi rate cut policy had a temporary impact that suppressed trading activity, but the market began to adjust and recover transaction volume a few days after the event.</w:t>
      </w:r>
    </w:p>
    <w:p w14:paraId="6BBAD167" w14:textId="5E507AC5" w:rsidR="008000DA" w:rsidRDefault="008000DA" w:rsidP="00054313">
      <w:pPr>
        <w:spacing w:after="120"/>
        <w:jc w:val="center"/>
        <w:rPr>
          <w:color w:val="000000"/>
        </w:rPr>
      </w:pPr>
      <w:r>
        <w:rPr>
          <w:noProof/>
        </w:rPr>
        <w:drawing>
          <wp:inline distT="0" distB="0" distL="0" distR="0" wp14:anchorId="5082C243" wp14:editId="78757A56">
            <wp:extent cx="4019550" cy="2159000"/>
            <wp:effectExtent l="0" t="0" r="0" b="12700"/>
            <wp:docPr id="174324776" name="Chart 1">
              <a:extLst xmlns:a="http://schemas.openxmlformats.org/drawingml/2006/main">
                <a:ext uri="{FF2B5EF4-FFF2-40B4-BE49-F238E27FC236}">
                  <a16:creationId xmlns:a16="http://schemas.microsoft.com/office/drawing/2014/main" id="{C02A0D29-B10C-8E16-59B5-B92EB19AD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F92FD3" w14:textId="77777777" w:rsidR="008000DA" w:rsidRPr="008000DA" w:rsidRDefault="008000DA" w:rsidP="00054313">
      <w:pPr>
        <w:spacing w:after="120"/>
        <w:jc w:val="center"/>
        <w:rPr>
          <w:color w:val="000000"/>
        </w:rPr>
      </w:pPr>
      <w:r w:rsidRPr="008000DA">
        <w:rPr>
          <w:color w:val="000000"/>
        </w:rPr>
        <w:t>Figure 2. Trading Volume Activity Announcement of Bi Rate Reduction</w:t>
      </w:r>
    </w:p>
    <w:p w14:paraId="47ACA890" w14:textId="77777777" w:rsidR="008000DA" w:rsidRPr="008000DA" w:rsidRDefault="008000DA" w:rsidP="00054313">
      <w:pPr>
        <w:spacing w:after="120"/>
        <w:rPr>
          <w:color w:val="000000"/>
        </w:rPr>
      </w:pPr>
      <w:r w:rsidRPr="008000DA">
        <w:rPr>
          <w:color w:val="000000"/>
        </w:rPr>
        <w:t>To determine the hypothesis test to be used, this study first conducted a normality test by adopting the Shapiro-Wilk method at a significance level (α) of 5% (0.05). This test serves to determine whether the distribution of data on abnormal return and trading volume activity variables is normally distributed, both before and after the announcement of the BI rate cut. The criteria set in this test are that if the Asymptotic Sig. value from the Shapiro-Wilk test result is greater than 0.05, the data is considered to be normally distributed. Conversely, if the Asymptotic Sig. value is equal to or less than 0.05, the data is concluded to be not normally distributed. Based on the test results table, all significance values for AAR and ATVA in the period before and after the announcement are above 0.05. This indicates that all research data has met the normality assumption, which will then be used for parametric statistical testing for further analysis.</w:t>
      </w:r>
    </w:p>
    <w:p w14:paraId="53CB8918" w14:textId="45CB8044" w:rsidR="008000DA" w:rsidRDefault="008000DA" w:rsidP="00054313">
      <w:pPr>
        <w:spacing w:after="120"/>
        <w:jc w:val="center"/>
        <w:rPr>
          <w:color w:val="000000"/>
        </w:rPr>
      </w:pPr>
      <w:r w:rsidRPr="008000DA">
        <w:rPr>
          <w:color w:val="000000"/>
        </w:rPr>
        <w:t>Table 3. Normality Test Results (Shapiro-Wilk)</w:t>
      </w:r>
    </w:p>
    <w:tbl>
      <w:tblPr>
        <w:tblStyle w:val="TableGrid"/>
        <w:tblW w:w="9193"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529"/>
        <w:gridCol w:w="1062"/>
        <w:gridCol w:w="943"/>
        <w:gridCol w:w="519"/>
        <w:gridCol w:w="794"/>
        <w:gridCol w:w="1582"/>
        <w:gridCol w:w="943"/>
        <w:gridCol w:w="531"/>
        <w:gridCol w:w="711"/>
        <w:gridCol w:w="1579"/>
      </w:tblGrid>
      <w:tr w:rsidR="008000DA" w14:paraId="00D4B36C" w14:textId="77777777" w:rsidTr="00054313">
        <w:trPr>
          <w:trHeight w:val="285"/>
        </w:trPr>
        <w:tc>
          <w:tcPr>
            <w:tcW w:w="529" w:type="dxa"/>
            <w:vMerge w:val="restart"/>
            <w:tcBorders>
              <w:top w:val="nil"/>
              <w:bottom w:val="nil"/>
              <w:right w:val="nil"/>
            </w:tcBorders>
            <w:vAlign w:val="center"/>
          </w:tcPr>
          <w:p w14:paraId="20D823B0" w14:textId="77777777" w:rsidR="008000DA" w:rsidRPr="008000DA" w:rsidRDefault="008000DA" w:rsidP="00054313">
            <w:pPr>
              <w:jc w:val="center"/>
              <w:rPr>
                <w:color w:val="000000"/>
              </w:rPr>
            </w:pPr>
            <w:proofErr w:type="spellStart"/>
            <w:r w:rsidRPr="008000DA">
              <w:rPr>
                <w:color w:val="000000"/>
              </w:rPr>
              <w:t>Ket</w:t>
            </w:r>
            <w:proofErr w:type="spellEnd"/>
          </w:p>
        </w:tc>
        <w:tc>
          <w:tcPr>
            <w:tcW w:w="1062" w:type="dxa"/>
            <w:vMerge w:val="restart"/>
            <w:tcBorders>
              <w:top w:val="nil"/>
              <w:left w:val="nil"/>
              <w:bottom w:val="nil"/>
              <w:right w:val="nil"/>
            </w:tcBorders>
            <w:vAlign w:val="center"/>
          </w:tcPr>
          <w:p w14:paraId="1EDDD25C" w14:textId="77777777" w:rsidR="008000DA" w:rsidRPr="008000DA" w:rsidRDefault="008000DA" w:rsidP="00054313">
            <w:pPr>
              <w:jc w:val="center"/>
              <w:rPr>
                <w:color w:val="000000"/>
              </w:rPr>
            </w:pPr>
            <w:proofErr w:type="spellStart"/>
            <w:r w:rsidRPr="008000DA">
              <w:rPr>
                <w:color w:val="000000"/>
              </w:rPr>
              <w:t>Periode</w:t>
            </w:r>
            <w:proofErr w:type="spellEnd"/>
          </w:p>
        </w:tc>
        <w:tc>
          <w:tcPr>
            <w:tcW w:w="3838" w:type="dxa"/>
            <w:gridSpan w:val="4"/>
            <w:tcBorders>
              <w:top w:val="nil"/>
              <w:left w:val="nil"/>
              <w:bottom w:val="single" w:sz="4" w:space="0" w:color="auto"/>
              <w:right w:val="nil"/>
            </w:tcBorders>
            <w:vAlign w:val="center"/>
          </w:tcPr>
          <w:p w14:paraId="3EDBD3F9" w14:textId="77777777" w:rsidR="008000DA" w:rsidRPr="008000DA" w:rsidRDefault="008000DA" w:rsidP="00054313">
            <w:pPr>
              <w:jc w:val="center"/>
              <w:rPr>
                <w:color w:val="000000"/>
              </w:rPr>
            </w:pPr>
            <w:r w:rsidRPr="008000DA">
              <w:rPr>
                <w:color w:val="000000"/>
              </w:rPr>
              <w:t>AAR</w:t>
            </w:r>
          </w:p>
        </w:tc>
        <w:tc>
          <w:tcPr>
            <w:tcW w:w="3764" w:type="dxa"/>
            <w:gridSpan w:val="4"/>
            <w:tcBorders>
              <w:top w:val="nil"/>
              <w:left w:val="nil"/>
              <w:bottom w:val="single" w:sz="4" w:space="0" w:color="auto"/>
            </w:tcBorders>
            <w:vAlign w:val="center"/>
          </w:tcPr>
          <w:p w14:paraId="125FD0AA" w14:textId="77777777" w:rsidR="008000DA" w:rsidRPr="008000DA" w:rsidRDefault="008000DA" w:rsidP="00054313">
            <w:pPr>
              <w:jc w:val="center"/>
              <w:rPr>
                <w:color w:val="000000"/>
              </w:rPr>
            </w:pPr>
            <w:r w:rsidRPr="008000DA">
              <w:rPr>
                <w:color w:val="000000"/>
              </w:rPr>
              <w:t>ATVA</w:t>
            </w:r>
          </w:p>
        </w:tc>
      </w:tr>
      <w:tr w:rsidR="008000DA" w14:paraId="7A3E9C7F" w14:textId="77777777" w:rsidTr="00054313">
        <w:trPr>
          <w:trHeight w:val="101"/>
        </w:trPr>
        <w:tc>
          <w:tcPr>
            <w:tcW w:w="529" w:type="dxa"/>
            <w:vMerge/>
            <w:tcBorders>
              <w:top w:val="nil"/>
              <w:bottom w:val="single" w:sz="4" w:space="0" w:color="auto"/>
              <w:right w:val="nil"/>
            </w:tcBorders>
            <w:vAlign w:val="center"/>
          </w:tcPr>
          <w:p w14:paraId="7AF3E968" w14:textId="77777777" w:rsidR="008000DA" w:rsidRPr="008000DA" w:rsidRDefault="008000DA" w:rsidP="00054313">
            <w:pPr>
              <w:jc w:val="center"/>
              <w:rPr>
                <w:color w:val="000000"/>
              </w:rPr>
            </w:pPr>
          </w:p>
        </w:tc>
        <w:tc>
          <w:tcPr>
            <w:tcW w:w="1062" w:type="dxa"/>
            <w:vMerge/>
            <w:tcBorders>
              <w:top w:val="nil"/>
              <w:left w:val="nil"/>
              <w:bottom w:val="single" w:sz="4" w:space="0" w:color="auto"/>
              <w:right w:val="nil"/>
            </w:tcBorders>
            <w:vAlign w:val="center"/>
          </w:tcPr>
          <w:p w14:paraId="7A4E3D4E" w14:textId="77777777" w:rsidR="008000DA" w:rsidRPr="008000DA" w:rsidRDefault="008000DA" w:rsidP="00054313">
            <w:pPr>
              <w:jc w:val="center"/>
              <w:rPr>
                <w:color w:val="000000"/>
              </w:rPr>
            </w:pPr>
          </w:p>
        </w:tc>
        <w:tc>
          <w:tcPr>
            <w:tcW w:w="943" w:type="dxa"/>
            <w:tcBorders>
              <w:top w:val="single" w:sz="4" w:space="0" w:color="auto"/>
              <w:left w:val="nil"/>
              <w:bottom w:val="single" w:sz="4" w:space="0" w:color="auto"/>
              <w:right w:val="nil"/>
            </w:tcBorders>
            <w:vAlign w:val="center"/>
          </w:tcPr>
          <w:p w14:paraId="2692CEC0" w14:textId="77777777" w:rsidR="008000DA" w:rsidRPr="008000DA" w:rsidRDefault="008000DA" w:rsidP="00054313">
            <w:pPr>
              <w:jc w:val="center"/>
              <w:rPr>
                <w:color w:val="000000"/>
              </w:rPr>
            </w:pPr>
            <w:r w:rsidRPr="008000DA">
              <w:rPr>
                <w:color w:val="000000"/>
              </w:rPr>
              <w:t>Statistic</w:t>
            </w:r>
          </w:p>
        </w:tc>
        <w:tc>
          <w:tcPr>
            <w:tcW w:w="519" w:type="dxa"/>
            <w:tcBorders>
              <w:top w:val="single" w:sz="4" w:space="0" w:color="auto"/>
              <w:left w:val="nil"/>
              <w:bottom w:val="single" w:sz="4" w:space="0" w:color="auto"/>
              <w:right w:val="nil"/>
            </w:tcBorders>
            <w:vAlign w:val="center"/>
          </w:tcPr>
          <w:p w14:paraId="69126780" w14:textId="77777777" w:rsidR="008000DA" w:rsidRPr="008000DA" w:rsidRDefault="008000DA" w:rsidP="00054313">
            <w:pPr>
              <w:jc w:val="center"/>
              <w:rPr>
                <w:color w:val="000000"/>
              </w:rPr>
            </w:pPr>
            <w:r w:rsidRPr="008000DA">
              <w:rPr>
                <w:color w:val="000000"/>
              </w:rPr>
              <w:t>df</w:t>
            </w:r>
          </w:p>
        </w:tc>
        <w:tc>
          <w:tcPr>
            <w:tcW w:w="794" w:type="dxa"/>
            <w:tcBorders>
              <w:top w:val="single" w:sz="4" w:space="0" w:color="auto"/>
              <w:left w:val="nil"/>
              <w:bottom w:val="single" w:sz="4" w:space="0" w:color="auto"/>
              <w:right w:val="nil"/>
            </w:tcBorders>
            <w:vAlign w:val="center"/>
          </w:tcPr>
          <w:p w14:paraId="02198BD8" w14:textId="77777777" w:rsidR="008000DA" w:rsidRPr="008000DA" w:rsidRDefault="008000DA" w:rsidP="00054313">
            <w:pPr>
              <w:jc w:val="center"/>
              <w:rPr>
                <w:color w:val="000000"/>
              </w:rPr>
            </w:pPr>
            <w:r w:rsidRPr="008000DA">
              <w:rPr>
                <w:color w:val="000000"/>
              </w:rPr>
              <w:t>Sig.</w:t>
            </w:r>
          </w:p>
        </w:tc>
        <w:tc>
          <w:tcPr>
            <w:tcW w:w="1581" w:type="dxa"/>
            <w:tcBorders>
              <w:top w:val="single" w:sz="4" w:space="0" w:color="auto"/>
              <w:left w:val="nil"/>
              <w:bottom w:val="single" w:sz="4" w:space="0" w:color="auto"/>
              <w:right w:val="nil"/>
            </w:tcBorders>
            <w:vAlign w:val="center"/>
          </w:tcPr>
          <w:p w14:paraId="291697FD" w14:textId="7CB854A1" w:rsidR="008000DA" w:rsidRPr="008000DA" w:rsidRDefault="008000DA" w:rsidP="00054313">
            <w:pPr>
              <w:jc w:val="center"/>
              <w:rPr>
                <w:color w:val="000000"/>
              </w:rPr>
            </w:pPr>
            <w:r>
              <w:rPr>
                <w:color w:val="000000"/>
              </w:rPr>
              <w:t>Data Distribution</w:t>
            </w:r>
          </w:p>
        </w:tc>
        <w:tc>
          <w:tcPr>
            <w:tcW w:w="943" w:type="dxa"/>
            <w:tcBorders>
              <w:top w:val="single" w:sz="4" w:space="0" w:color="auto"/>
              <w:left w:val="nil"/>
              <w:bottom w:val="single" w:sz="4" w:space="0" w:color="auto"/>
              <w:right w:val="nil"/>
            </w:tcBorders>
            <w:vAlign w:val="center"/>
          </w:tcPr>
          <w:p w14:paraId="62D1996E" w14:textId="77777777" w:rsidR="008000DA" w:rsidRPr="008000DA" w:rsidRDefault="008000DA" w:rsidP="00054313">
            <w:pPr>
              <w:jc w:val="center"/>
              <w:rPr>
                <w:color w:val="000000"/>
              </w:rPr>
            </w:pPr>
            <w:r w:rsidRPr="008000DA">
              <w:rPr>
                <w:color w:val="000000"/>
              </w:rPr>
              <w:t>Statistic</w:t>
            </w:r>
          </w:p>
        </w:tc>
        <w:tc>
          <w:tcPr>
            <w:tcW w:w="531" w:type="dxa"/>
            <w:tcBorders>
              <w:top w:val="single" w:sz="4" w:space="0" w:color="auto"/>
              <w:left w:val="nil"/>
              <w:bottom w:val="single" w:sz="4" w:space="0" w:color="auto"/>
              <w:right w:val="nil"/>
            </w:tcBorders>
            <w:vAlign w:val="center"/>
          </w:tcPr>
          <w:p w14:paraId="1DF7FD9C" w14:textId="77777777" w:rsidR="008000DA" w:rsidRPr="008000DA" w:rsidRDefault="008000DA" w:rsidP="00054313">
            <w:pPr>
              <w:jc w:val="center"/>
              <w:rPr>
                <w:color w:val="000000"/>
              </w:rPr>
            </w:pPr>
            <w:r w:rsidRPr="008000DA">
              <w:rPr>
                <w:color w:val="000000"/>
              </w:rPr>
              <w:t>df</w:t>
            </w:r>
          </w:p>
        </w:tc>
        <w:tc>
          <w:tcPr>
            <w:tcW w:w="711" w:type="dxa"/>
            <w:tcBorders>
              <w:top w:val="single" w:sz="4" w:space="0" w:color="auto"/>
              <w:left w:val="nil"/>
              <w:bottom w:val="single" w:sz="4" w:space="0" w:color="auto"/>
              <w:right w:val="nil"/>
            </w:tcBorders>
            <w:vAlign w:val="center"/>
          </w:tcPr>
          <w:p w14:paraId="4DC90BAF" w14:textId="77777777" w:rsidR="008000DA" w:rsidRPr="008000DA" w:rsidRDefault="008000DA" w:rsidP="00054313">
            <w:pPr>
              <w:jc w:val="center"/>
              <w:rPr>
                <w:color w:val="000000"/>
              </w:rPr>
            </w:pPr>
            <w:r w:rsidRPr="008000DA">
              <w:rPr>
                <w:color w:val="000000"/>
              </w:rPr>
              <w:t>Sig.</w:t>
            </w:r>
          </w:p>
        </w:tc>
        <w:tc>
          <w:tcPr>
            <w:tcW w:w="1578" w:type="dxa"/>
            <w:tcBorders>
              <w:top w:val="single" w:sz="4" w:space="0" w:color="auto"/>
              <w:left w:val="nil"/>
              <w:bottom w:val="single" w:sz="4" w:space="0" w:color="auto"/>
            </w:tcBorders>
            <w:vAlign w:val="center"/>
          </w:tcPr>
          <w:p w14:paraId="34D21363" w14:textId="0593D6CE" w:rsidR="008000DA" w:rsidRPr="008000DA" w:rsidRDefault="008000DA" w:rsidP="00054313">
            <w:pPr>
              <w:jc w:val="center"/>
              <w:rPr>
                <w:color w:val="000000"/>
              </w:rPr>
            </w:pPr>
            <w:r>
              <w:rPr>
                <w:color w:val="000000"/>
              </w:rPr>
              <w:t>Data Distribution</w:t>
            </w:r>
          </w:p>
        </w:tc>
      </w:tr>
      <w:tr w:rsidR="008000DA" w14:paraId="01B3516E" w14:textId="77777777" w:rsidTr="00054313">
        <w:trPr>
          <w:trHeight w:val="583"/>
        </w:trPr>
        <w:tc>
          <w:tcPr>
            <w:tcW w:w="529" w:type="dxa"/>
            <w:vMerge w:val="restart"/>
            <w:tcBorders>
              <w:top w:val="single" w:sz="4" w:space="0" w:color="auto"/>
              <w:bottom w:val="nil"/>
              <w:right w:val="nil"/>
            </w:tcBorders>
            <w:vAlign w:val="center"/>
          </w:tcPr>
          <w:p w14:paraId="4F06A4AE" w14:textId="77777777" w:rsidR="008000DA" w:rsidRPr="008000DA" w:rsidRDefault="008000DA" w:rsidP="00054313">
            <w:pPr>
              <w:jc w:val="center"/>
              <w:rPr>
                <w:color w:val="000000"/>
              </w:rPr>
            </w:pPr>
            <w:r w:rsidRPr="008000DA">
              <w:rPr>
                <w:color w:val="000000"/>
              </w:rPr>
              <w:t>BR</w:t>
            </w:r>
          </w:p>
        </w:tc>
        <w:tc>
          <w:tcPr>
            <w:tcW w:w="1062" w:type="dxa"/>
            <w:tcBorders>
              <w:top w:val="single" w:sz="4" w:space="0" w:color="auto"/>
              <w:left w:val="nil"/>
              <w:bottom w:val="nil"/>
              <w:right w:val="nil"/>
            </w:tcBorders>
            <w:vAlign w:val="center"/>
          </w:tcPr>
          <w:p w14:paraId="4CE87A75" w14:textId="3D33E522" w:rsidR="008000DA" w:rsidRPr="008000DA" w:rsidRDefault="008000DA" w:rsidP="00054313">
            <w:pPr>
              <w:jc w:val="center"/>
              <w:rPr>
                <w:color w:val="000000"/>
              </w:rPr>
            </w:pPr>
            <w:r>
              <w:rPr>
                <w:color w:val="000000"/>
              </w:rPr>
              <w:t>Before</w:t>
            </w:r>
          </w:p>
        </w:tc>
        <w:tc>
          <w:tcPr>
            <w:tcW w:w="943" w:type="dxa"/>
            <w:tcBorders>
              <w:top w:val="single" w:sz="4" w:space="0" w:color="auto"/>
              <w:left w:val="nil"/>
              <w:bottom w:val="nil"/>
              <w:right w:val="nil"/>
            </w:tcBorders>
            <w:vAlign w:val="center"/>
          </w:tcPr>
          <w:p w14:paraId="0DAEACC7" w14:textId="77777777" w:rsidR="008000DA" w:rsidRPr="008000DA" w:rsidRDefault="008000DA" w:rsidP="00054313">
            <w:pPr>
              <w:jc w:val="center"/>
              <w:rPr>
                <w:color w:val="000000"/>
              </w:rPr>
            </w:pPr>
            <w:r w:rsidRPr="008000DA">
              <w:rPr>
                <w:color w:val="000000"/>
              </w:rPr>
              <w:t>.940</w:t>
            </w:r>
          </w:p>
        </w:tc>
        <w:tc>
          <w:tcPr>
            <w:tcW w:w="519" w:type="dxa"/>
            <w:tcBorders>
              <w:top w:val="single" w:sz="4" w:space="0" w:color="auto"/>
              <w:left w:val="nil"/>
              <w:bottom w:val="nil"/>
              <w:right w:val="nil"/>
            </w:tcBorders>
            <w:vAlign w:val="center"/>
          </w:tcPr>
          <w:p w14:paraId="012712B5" w14:textId="77777777" w:rsidR="008000DA" w:rsidRPr="008000DA" w:rsidRDefault="008000DA" w:rsidP="00054313">
            <w:pPr>
              <w:jc w:val="center"/>
              <w:rPr>
                <w:color w:val="000000"/>
              </w:rPr>
            </w:pPr>
            <w:r w:rsidRPr="008000DA">
              <w:rPr>
                <w:color w:val="000000"/>
              </w:rPr>
              <w:t>7</w:t>
            </w:r>
          </w:p>
        </w:tc>
        <w:tc>
          <w:tcPr>
            <w:tcW w:w="794" w:type="dxa"/>
            <w:tcBorders>
              <w:top w:val="single" w:sz="4" w:space="0" w:color="auto"/>
              <w:left w:val="nil"/>
              <w:bottom w:val="nil"/>
              <w:right w:val="nil"/>
            </w:tcBorders>
            <w:vAlign w:val="center"/>
          </w:tcPr>
          <w:p w14:paraId="53055702" w14:textId="77777777" w:rsidR="008000DA" w:rsidRPr="008000DA" w:rsidRDefault="008000DA" w:rsidP="00054313">
            <w:pPr>
              <w:jc w:val="center"/>
              <w:rPr>
                <w:color w:val="000000"/>
              </w:rPr>
            </w:pPr>
            <w:r w:rsidRPr="008000DA">
              <w:rPr>
                <w:color w:val="000000"/>
              </w:rPr>
              <w:t>0.637</w:t>
            </w:r>
          </w:p>
        </w:tc>
        <w:tc>
          <w:tcPr>
            <w:tcW w:w="1581" w:type="dxa"/>
            <w:tcBorders>
              <w:top w:val="single" w:sz="4" w:space="0" w:color="auto"/>
              <w:left w:val="nil"/>
              <w:bottom w:val="nil"/>
              <w:right w:val="nil"/>
            </w:tcBorders>
            <w:vAlign w:val="center"/>
          </w:tcPr>
          <w:p w14:paraId="0EE7DCD8" w14:textId="77777777" w:rsidR="008000DA" w:rsidRPr="008000DA" w:rsidRDefault="008000DA" w:rsidP="00054313">
            <w:pPr>
              <w:jc w:val="center"/>
              <w:rPr>
                <w:color w:val="000000"/>
              </w:rPr>
            </w:pPr>
            <w:r w:rsidRPr="008000DA">
              <w:rPr>
                <w:color w:val="000000"/>
              </w:rPr>
              <w:t>Normal</w:t>
            </w:r>
          </w:p>
        </w:tc>
        <w:tc>
          <w:tcPr>
            <w:tcW w:w="943" w:type="dxa"/>
            <w:tcBorders>
              <w:top w:val="single" w:sz="4" w:space="0" w:color="auto"/>
              <w:left w:val="nil"/>
              <w:bottom w:val="nil"/>
              <w:right w:val="nil"/>
            </w:tcBorders>
            <w:vAlign w:val="center"/>
          </w:tcPr>
          <w:p w14:paraId="701005BC" w14:textId="77777777" w:rsidR="008000DA" w:rsidRPr="008000DA" w:rsidRDefault="008000DA" w:rsidP="00054313">
            <w:pPr>
              <w:jc w:val="center"/>
              <w:rPr>
                <w:color w:val="000000"/>
              </w:rPr>
            </w:pPr>
            <w:r w:rsidRPr="008000DA">
              <w:rPr>
                <w:color w:val="000000"/>
              </w:rPr>
              <w:t>0.910</w:t>
            </w:r>
          </w:p>
        </w:tc>
        <w:tc>
          <w:tcPr>
            <w:tcW w:w="531" w:type="dxa"/>
            <w:tcBorders>
              <w:top w:val="single" w:sz="4" w:space="0" w:color="auto"/>
              <w:left w:val="nil"/>
              <w:bottom w:val="nil"/>
              <w:right w:val="nil"/>
            </w:tcBorders>
            <w:vAlign w:val="center"/>
          </w:tcPr>
          <w:p w14:paraId="31B8F123" w14:textId="77777777" w:rsidR="008000DA" w:rsidRPr="008000DA" w:rsidRDefault="008000DA" w:rsidP="00054313">
            <w:pPr>
              <w:jc w:val="center"/>
              <w:rPr>
                <w:color w:val="000000"/>
              </w:rPr>
            </w:pPr>
            <w:r w:rsidRPr="008000DA">
              <w:rPr>
                <w:color w:val="000000"/>
              </w:rPr>
              <w:t>7</w:t>
            </w:r>
          </w:p>
        </w:tc>
        <w:tc>
          <w:tcPr>
            <w:tcW w:w="711" w:type="dxa"/>
            <w:tcBorders>
              <w:top w:val="single" w:sz="4" w:space="0" w:color="auto"/>
              <w:left w:val="nil"/>
              <w:bottom w:val="nil"/>
              <w:right w:val="nil"/>
            </w:tcBorders>
            <w:vAlign w:val="center"/>
          </w:tcPr>
          <w:p w14:paraId="1F079EAA" w14:textId="77777777" w:rsidR="008000DA" w:rsidRPr="008000DA" w:rsidRDefault="008000DA" w:rsidP="00054313">
            <w:pPr>
              <w:jc w:val="center"/>
              <w:rPr>
                <w:color w:val="000000"/>
              </w:rPr>
            </w:pPr>
            <w:r w:rsidRPr="008000DA">
              <w:rPr>
                <w:color w:val="000000"/>
              </w:rPr>
              <w:t>0.398</w:t>
            </w:r>
          </w:p>
        </w:tc>
        <w:tc>
          <w:tcPr>
            <w:tcW w:w="1578" w:type="dxa"/>
            <w:tcBorders>
              <w:top w:val="single" w:sz="4" w:space="0" w:color="auto"/>
              <w:left w:val="nil"/>
              <w:bottom w:val="nil"/>
            </w:tcBorders>
            <w:vAlign w:val="center"/>
          </w:tcPr>
          <w:p w14:paraId="025E9629" w14:textId="77777777" w:rsidR="008000DA" w:rsidRPr="008000DA" w:rsidRDefault="008000DA" w:rsidP="00054313">
            <w:pPr>
              <w:jc w:val="center"/>
              <w:rPr>
                <w:color w:val="000000"/>
              </w:rPr>
            </w:pPr>
            <w:r w:rsidRPr="008000DA">
              <w:rPr>
                <w:color w:val="000000"/>
              </w:rPr>
              <w:t>Normal</w:t>
            </w:r>
          </w:p>
        </w:tc>
      </w:tr>
      <w:tr w:rsidR="008000DA" w14:paraId="2C2EB03A" w14:textId="77777777" w:rsidTr="00054313">
        <w:trPr>
          <w:trHeight w:val="285"/>
        </w:trPr>
        <w:tc>
          <w:tcPr>
            <w:tcW w:w="529" w:type="dxa"/>
            <w:vMerge/>
            <w:tcBorders>
              <w:top w:val="nil"/>
              <w:bottom w:val="single" w:sz="4" w:space="0" w:color="auto"/>
              <w:right w:val="nil"/>
            </w:tcBorders>
            <w:vAlign w:val="center"/>
          </w:tcPr>
          <w:p w14:paraId="574794B8" w14:textId="77777777" w:rsidR="008000DA" w:rsidRPr="008000DA" w:rsidRDefault="008000DA" w:rsidP="00054313">
            <w:pPr>
              <w:jc w:val="center"/>
              <w:rPr>
                <w:color w:val="000000"/>
              </w:rPr>
            </w:pPr>
          </w:p>
        </w:tc>
        <w:tc>
          <w:tcPr>
            <w:tcW w:w="1062" w:type="dxa"/>
            <w:tcBorders>
              <w:top w:val="nil"/>
              <w:left w:val="nil"/>
              <w:bottom w:val="single" w:sz="4" w:space="0" w:color="auto"/>
              <w:right w:val="nil"/>
            </w:tcBorders>
            <w:vAlign w:val="center"/>
          </w:tcPr>
          <w:p w14:paraId="70214AAD" w14:textId="07D27983" w:rsidR="008000DA" w:rsidRPr="008000DA" w:rsidRDefault="008000DA" w:rsidP="00054313">
            <w:pPr>
              <w:jc w:val="center"/>
              <w:rPr>
                <w:color w:val="000000"/>
              </w:rPr>
            </w:pPr>
            <w:r>
              <w:rPr>
                <w:color w:val="000000"/>
              </w:rPr>
              <w:t>After</w:t>
            </w:r>
          </w:p>
        </w:tc>
        <w:tc>
          <w:tcPr>
            <w:tcW w:w="943" w:type="dxa"/>
            <w:tcBorders>
              <w:top w:val="nil"/>
              <w:left w:val="nil"/>
              <w:bottom w:val="single" w:sz="4" w:space="0" w:color="auto"/>
              <w:right w:val="nil"/>
            </w:tcBorders>
            <w:vAlign w:val="center"/>
          </w:tcPr>
          <w:p w14:paraId="483AC05D" w14:textId="77777777" w:rsidR="008000DA" w:rsidRPr="008000DA" w:rsidRDefault="008000DA" w:rsidP="00054313">
            <w:pPr>
              <w:jc w:val="center"/>
              <w:rPr>
                <w:color w:val="000000"/>
              </w:rPr>
            </w:pPr>
            <w:r w:rsidRPr="008000DA">
              <w:rPr>
                <w:color w:val="000000"/>
              </w:rPr>
              <w:t>.964</w:t>
            </w:r>
          </w:p>
        </w:tc>
        <w:tc>
          <w:tcPr>
            <w:tcW w:w="519" w:type="dxa"/>
            <w:tcBorders>
              <w:top w:val="nil"/>
              <w:left w:val="nil"/>
              <w:bottom w:val="single" w:sz="4" w:space="0" w:color="auto"/>
              <w:right w:val="nil"/>
            </w:tcBorders>
            <w:vAlign w:val="center"/>
          </w:tcPr>
          <w:p w14:paraId="10F290D2" w14:textId="77777777" w:rsidR="008000DA" w:rsidRPr="008000DA" w:rsidRDefault="008000DA" w:rsidP="00054313">
            <w:pPr>
              <w:jc w:val="center"/>
              <w:rPr>
                <w:color w:val="000000"/>
              </w:rPr>
            </w:pPr>
            <w:r w:rsidRPr="008000DA">
              <w:rPr>
                <w:color w:val="000000"/>
              </w:rPr>
              <w:t>7</w:t>
            </w:r>
          </w:p>
        </w:tc>
        <w:tc>
          <w:tcPr>
            <w:tcW w:w="794" w:type="dxa"/>
            <w:tcBorders>
              <w:top w:val="nil"/>
              <w:left w:val="nil"/>
              <w:bottom w:val="single" w:sz="4" w:space="0" w:color="auto"/>
              <w:right w:val="nil"/>
            </w:tcBorders>
            <w:vAlign w:val="center"/>
          </w:tcPr>
          <w:p w14:paraId="44AA8462" w14:textId="77777777" w:rsidR="008000DA" w:rsidRPr="008000DA" w:rsidRDefault="008000DA" w:rsidP="00054313">
            <w:pPr>
              <w:jc w:val="center"/>
              <w:rPr>
                <w:color w:val="000000"/>
              </w:rPr>
            </w:pPr>
            <w:r w:rsidRPr="008000DA">
              <w:rPr>
                <w:color w:val="000000"/>
              </w:rPr>
              <w:t>0.850</w:t>
            </w:r>
          </w:p>
        </w:tc>
        <w:tc>
          <w:tcPr>
            <w:tcW w:w="1581" w:type="dxa"/>
            <w:tcBorders>
              <w:top w:val="nil"/>
              <w:left w:val="nil"/>
              <w:bottom w:val="single" w:sz="4" w:space="0" w:color="auto"/>
              <w:right w:val="nil"/>
            </w:tcBorders>
            <w:vAlign w:val="center"/>
          </w:tcPr>
          <w:p w14:paraId="5CA57100" w14:textId="77777777" w:rsidR="008000DA" w:rsidRPr="008000DA" w:rsidRDefault="008000DA" w:rsidP="00054313">
            <w:pPr>
              <w:jc w:val="center"/>
              <w:rPr>
                <w:color w:val="000000"/>
              </w:rPr>
            </w:pPr>
            <w:r w:rsidRPr="008000DA">
              <w:rPr>
                <w:color w:val="000000"/>
              </w:rPr>
              <w:t>Normal</w:t>
            </w:r>
          </w:p>
        </w:tc>
        <w:tc>
          <w:tcPr>
            <w:tcW w:w="943" w:type="dxa"/>
            <w:tcBorders>
              <w:top w:val="nil"/>
              <w:left w:val="nil"/>
              <w:bottom w:val="single" w:sz="4" w:space="0" w:color="auto"/>
              <w:right w:val="nil"/>
            </w:tcBorders>
            <w:vAlign w:val="center"/>
          </w:tcPr>
          <w:p w14:paraId="51ECFF31" w14:textId="77777777" w:rsidR="008000DA" w:rsidRPr="008000DA" w:rsidRDefault="008000DA" w:rsidP="00054313">
            <w:pPr>
              <w:jc w:val="center"/>
              <w:rPr>
                <w:color w:val="000000"/>
              </w:rPr>
            </w:pPr>
            <w:r w:rsidRPr="008000DA">
              <w:rPr>
                <w:color w:val="000000"/>
              </w:rPr>
              <w:t>0.921</w:t>
            </w:r>
          </w:p>
        </w:tc>
        <w:tc>
          <w:tcPr>
            <w:tcW w:w="531" w:type="dxa"/>
            <w:tcBorders>
              <w:top w:val="nil"/>
              <w:left w:val="nil"/>
              <w:bottom w:val="single" w:sz="4" w:space="0" w:color="auto"/>
              <w:right w:val="nil"/>
            </w:tcBorders>
            <w:vAlign w:val="center"/>
          </w:tcPr>
          <w:p w14:paraId="0C06CDC0" w14:textId="77777777" w:rsidR="008000DA" w:rsidRPr="008000DA" w:rsidRDefault="008000DA" w:rsidP="00054313">
            <w:pPr>
              <w:jc w:val="center"/>
              <w:rPr>
                <w:color w:val="000000"/>
              </w:rPr>
            </w:pPr>
            <w:r w:rsidRPr="008000DA">
              <w:rPr>
                <w:color w:val="000000"/>
              </w:rPr>
              <w:t>7</w:t>
            </w:r>
          </w:p>
        </w:tc>
        <w:tc>
          <w:tcPr>
            <w:tcW w:w="711" w:type="dxa"/>
            <w:tcBorders>
              <w:top w:val="nil"/>
              <w:left w:val="nil"/>
              <w:bottom w:val="single" w:sz="4" w:space="0" w:color="auto"/>
              <w:right w:val="nil"/>
            </w:tcBorders>
            <w:vAlign w:val="center"/>
          </w:tcPr>
          <w:p w14:paraId="7C0FF525" w14:textId="77777777" w:rsidR="008000DA" w:rsidRPr="008000DA" w:rsidRDefault="008000DA" w:rsidP="00054313">
            <w:pPr>
              <w:jc w:val="center"/>
              <w:rPr>
                <w:color w:val="000000"/>
              </w:rPr>
            </w:pPr>
            <w:r w:rsidRPr="008000DA">
              <w:rPr>
                <w:color w:val="000000"/>
              </w:rPr>
              <w:t>0.480</w:t>
            </w:r>
          </w:p>
        </w:tc>
        <w:tc>
          <w:tcPr>
            <w:tcW w:w="1578" w:type="dxa"/>
            <w:tcBorders>
              <w:top w:val="nil"/>
              <w:left w:val="nil"/>
              <w:bottom w:val="single" w:sz="4" w:space="0" w:color="auto"/>
            </w:tcBorders>
            <w:vAlign w:val="center"/>
          </w:tcPr>
          <w:p w14:paraId="0B3C87B4" w14:textId="77777777" w:rsidR="008000DA" w:rsidRPr="008000DA" w:rsidRDefault="008000DA" w:rsidP="00054313">
            <w:pPr>
              <w:jc w:val="center"/>
              <w:rPr>
                <w:color w:val="000000"/>
              </w:rPr>
            </w:pPr>
            <w:r w:rsidRPr="008000DA">
              <w:rPr>
                <w:color w:val="000000"/>
              </w:rPr>
              <w:t>Normal</w:t>
            </w:r>
          </w:p>
        </w:tc>
      </w:tr>
    </w:tbl>
    <w:p w14:paraId="00D7A059" w14:textId="77777777" w:rsidR="008000DA" w:rsidRDefault="008000DA" w:rsidP="00054313">
      <w:pPr>
        <w:spacing w:after="120"/>
        <w:rPr>
          <w:color w:val="000000"/>
        </w:rPr>
      </w:pPr>
    </w:p>
    <w:p w14:paraId="00D09CFF" w14:textId="71D2932E" w:rsidR="008000DA" w:rsidRDefault="008000DA" w:rsidP="00054313">
      <w:pPr>
        <w:spacing w:after="120"/>
        <w:rPr>
          <w:color w:val="000000"/>
        </w:rPr>
      </w:pPr>
      <w:r w:rsidRPr="008000DA">
        <w:rPr>
          <w:color w:val="000000"/>
        </w:rPr>
        <w:lastRenderedPageBreak/>
        <w:t>Based on the results of the paired sample t-test hypothesis presented in the table, it can be interpreted that there was a significant market reaction to the announcement of the BI rate cut, both in terms of abnormal returns and trading volume activity. For the Average Abnormal Return (AAR) variable, the significance value (Sig.) obtained is 0.031. This value is smaller than the significance limit of 0.05, which is in accordance with the criteria set, so the null hypothesis (Ho) is rejected. The rejection of Ho indicates that there are significant abnormal returns in the period before and after the announcement of the BI rate cut. This is in line with the alternative hypothesis (Ha), which states that there are indeed abnormal returns. Similarly, for the Average Trading Volume Activity (ATVA) variable, the significance value is 0.030, which is also smaller than 0.05. Therefore, Ho is also rejected for this variable. This rejection indicates that there is a significant difference in trading volume between the period before and after the announcement of the BI rate cut. Overall, the results of this test prove that the announcement of this monetary policy triggered a significant and measurable market reaction.</w:t>
      </w:r>
    </w:p>
    <w:p w14:paraId="2F73AE55" w14:textId="3550DDAE" w:rsidR="008000DA" w:rsidRDefault="008000DA" w:rsidP="00054313">
      <w:pPr>
        <w:spacing w:after="120"/>
        <w:jc w:val="center"/>
        <w:rPr>
          <w:color w:val="000000"/>
        </w:rPr>
      </w:pPr>
      <w:r w:rsidRPr="008000DA">
        <w:rPr>
          <w:color w:val="000000"/>
        </w:rPr>
        <w:t>Table 4. Results of AAR Hypothesis Testing Before and After the Announcement</w:t>
      </w:r>
    </w:p>
    <w:tbl>
      <w:tblPr>
        <w:tblStyle w:val="TableGrid"/>
        <w:tblW w:w="0" w:type="auto"/>
        <w:tblLook w:val="04A0" w:firstRow="1" w:lastRow="0" w:firstColumn="1" w:lastColumn="0" w:noHBand="0" w:noVBand="1"/>
      </w:tblPr>
      <w:tblGrid>
        <w:gridCol w:w="1373"/>
        <w:gridCol w:w="1338"/>
        <w:gridCol w:w="1423"/>
        <w:gridCol w:w="1467"/>
        <w:gridCol w:w="1484"/>
        <w:gridCol w:w="1931"/>
      </w:tblGrid>
      <w:tr w:rsidR="008000DA" w14:paraId="2C515654" w14:textId="77777777" w:rsidTr="00604A32">
        <w:tc>
          <w:tcPr>
            <w:tcW w:w="1373" w:type="dxa"/>
            <w:vAlign w:val="center"/>
          </w:tcPr>
          <w:p w14:paraId="6EAD83BA" w14:textId="77777777" w:rsidR="008000DA" w:rsidRPr="008000DA" w:rsidRDefault="008000DA" w:rsidP="00054313">
            <w:pPr>
              <w:jc w:val="center"/>
              <w:rPr>
                <w:color w:val="000000"/>
              </w:rPr>
            </w:pPr>
            <w:bookmarkStart w:id="3" w:name="_Hlk209535369"/>
            <w:proofErr w:type="spellStart"/>
            <w:r w:rsidRPr="008000DA">
              <w:rPr>
                <w:color w:val="000000"/>
              </w:rPr>
              <w:t>Variabel</w:t>
            </w:r>
            <w:proofErr w:type="spellEnd"/>
          </w:p>
        </w:tc>
        <w:tc>
          <w:tcPr>
            <w:tcW w:w="1338" w:type="dxa"/>
            <w:vAlign w:val="center"/>
          </w:tcPr>
          <w:p w14:paraId="11A36745" w14:textId="3CC5FF65" w:rsidR="008000DA" w:rsidRPr="008000DA" w:rsidRDefault="008000DA" w:rsidP="00054313">
            <w:pPr>
              <w:jc w:val="center"/>
              <w:rPr>
                <w:color w:val="000000"/>
              </w:rPr>
            </w:pPr>
            <w:r w:rsidRPr="008000DA">
              <w:rPr>
                <w:color w:val="000000"/>
              </w:rPr>
              <w:t>Event</w:t>
            </w:r>
          </w:p>
        </w:tc>
        <w:tc>
          <w:tcPr>
            <w:tcW w:w="1423" w:type="dxa"/>
            <w:vAlign w:val="center"/>
          </w:tcPr>
          <w:p w14:paraId="44BD6D73" w14:textId="77777777" w:rsidR="008000DA" w:rsidRPr="008000DA" w:rsidRDefault="008000DA" w:rsidP="00054313">
            <w:pPr>
              <w:jc w:val="center"/>
              <w:rPr>
                <w:color w:val="000000"/>
              </w:rPr>
            </w:pPr>
            <w:r w:rsidRPr="008000DA">
              <w:rPr>
                <w:color w:val="000000"/>
              </w:rPr>
              <w:t>df</w:t>
            </w:r>
          </w:p>
        </w:tc>
        <w:tc>
          <w:tcPr>
            <w:tcW w:w="1467" w:type="dxa"/>
            <w:vAlign w:val="center"/>
          </w:tcPr>
          <w:p w14:paraId="321CB523" w14:textId="77777777" w:rsidR="008000DA" w:rsidRPr="008000DA" w:rsidRDefault="008000DA" w:rsidP="00054313">
            <w:pPr>
              <w:jc w:val="center"/>
              <w:rPr>
                <w:color w:val="000000"/>
              </w:rPr>
            </w:pPr>
            <w:r w:rsidRPr="008000DA">
              <w:rPr>
                <w:color w:val="000000"/>
              </w:rPr>
              <w:t>Sig. (</w:t>
            </w:r>
            <w:proofErr w:type="gramStart"/>
            <w:r w:rsidRPr="008000DA">
              <w:rPr>
                <w:color w:val="000000"/>
              </w:rPr>
              <w:t>Two Sided</w:t>
            </w:r>
            <w:proofErr w:type="gramEnd"/>
            <w:r w:rsidRPr="008000DA">
              <w:rPr>
                <w:color w:val="000000"/>
              </w:rPr>
              <w:t xml:space="preserve"> P)</w:t>
            </w:r>
          </w:p>
        </w:tc>
        <w:tc>
          <w:tcPr>
            <w:tcW w:w="1484" w:type="dxa"/>
            <w:vAlign w:val="center"/>
          </w:tcPr>
          <w:p w14:paraId="125DC9D2" w14:textId="6557C99E" w:rsidR="008000DA" w:rsidRPr="008000DA" w:rsidRDefault="008000DA" w:rsidP="00054313">
            <w:pPr>
              <w:jc w:val="center"/>
              <w:rPr>
                <w:color w:val="000000"/>
              </w:rPr>
            </w:pPr>
            <w:r w:rsidRPr="008000DA">
              <w:rPr>
                <w:color w:val="000000"/>
              </w:rPr>
              <w:t>Limit</w:t>
            </w:r>
          </w:p>
        </w:tc>
        <w:tc>
          <w:tcPr>
            <w:tcW w:w="1931" w:type="dxa"/>
            <w:vAlign w:val="center"/>
          </w:tcPr>
          <w:p w14:paraId="3314496B" w14:textId="76CD9E2D" w:rsidR="008000DA" w:rsidRPr="008000DA" w:rsidRDefault="008000DA" w:rsidP="00054313">
            <w:pPr>
              <w:jc w:val="center"/>
              <w:rPr>
                <w:color w:val="000000"/>
              </w:rPr>
            </w:pPr>
            <w:r w:rsidRPr="008000DA">
              <w:rPr>
                <w:color w:val="000000"/>
              </w:rPr>
              <w:t>Description</w:t>
            </w:r>
          </w:p>
        </w:tc>
      </w:tr>
      <w:tr w:rsidR="008000DA" w14:paraId="166FE2EB" w14:textId="77777777" w:rsidTr="00604A32">
        <w:tc>
          <w:tcPr>
            <w:tcW w:w="1373" w:type="dxa"/>
          </w:tcPr>
          <w:p w14:paraId="4769A0CB" w14:textId="77777777" w:rsidR="008000DA" w:rsidRPr="008000DA" w:rsidRDefault="008000DA" w:rsidP="00054313">
            <w:pPr>
              <w:rPr>
                <w:color w:val="000000"/>
              </w:rPr>
            </w:pPr>
            <w:r w:rsidRPr="008000DA">
              <w:rPr>
                <w:color w:val="000000"/>
              </w:rPr>
              <w:t>AAR</w:t>
            </w:r>
          </w:p>
        </w:tc>
        <w:tc>
          <w:tcPr>
            <w:tcW w:w="1338" w:type="dxa"/>
            <w:vMerge w:val="restart"/>
          </w:tcPr>
          <w:p w14:paraId="3A4A6224" w14:textId="35DC4997" w:rsidR="008000DA" w:rsidRPr="008000DA" w:rsidRDefault="008000DA" w:rsidP="00054313">
            <w:pPr>
              <w:jc w:val="center"/>
              <w:rPr>
                <w:color w:val="000000"/>
              </w:rPr>
            </w:pPr>
            <w:r w:rsidRPr="008000DA">
              <w:rPr>
                <w:color w:val="000000"/>
              </w:rPr>
              <w:t xml:space="preserve">Before &amp; </w:t>
            </w:r>
            <w:proofErr w:type="gramStart"/>
            <w:r w:rsidRPr="008000DA">
              <w:rPr>
                <w:color w:val="000000"/>
              </w:rPr>
              <w:t>After</w:t>
            </w:r>
            <w:proofErr w:type="gramEnd"/>
          </w:p>
        </w:tc>
        <w:tc>
          <w:tcPr>
            <w:tcW w:w="1423" w:type="dxa"/>
            <w:vAlign w:val="center"/>
          </w:tcPr>
          <w:p w14:paraId="52A3C31D" w14:textId="77777777" w:rsidR="008000DA" w:rsidRPr="008000DA" w:rsidRDefault="008000DA" w:rsidP="00054313">
            <w:pPr>
              <w:jc w:val="center"/>
              <w:rPr>
                <w:color w:val="000000"/>
              </w:rPr>
            </w:pPr>
            <w:r w:rsidRPr="008000DA">
              <w:rPr>
                <w:color w:val="000000"/>
              </w:rPr>
              <w:t>6</w:t>
            </w:r>
          </w:p>
        </w:tc>
        <w:tc>
          <w:tcPr>
            <w:tcW w:w="1467" w:type="dxa"/>
          </w:tcPr>
          <w:p w14:paraId="6F8106AD" w14:textId="77777777" w:rsidR="008000DA" w:rsidRPr="008000DA" w:rsidRDefault="008000DA" w:rsidP="00054313">
            <w:pPr>
              <w:jc w:val="center"/>
              <w:rPr>
                <w:color w:val="000000"/>
              </w:rPr>
            </w:pPr>
            <w:r w:rsidRPr="008000DA">
              <w:rPr>
                <w:color w:val="000000"/>
              </w:rPr>
              <w:t>0.031</w:t>
            </w:r>
          </w:p>
        </w:tc>
        <w:tc>
          <w:tcPr>
            <w:tcW w:w="1484" w:type="dxa"/>
          </w:tcPr>
          <w:p w14:paraId="43E9FE34" w14:textId="77777777" w:rsidR="008000DA" w:rsidRPr="008000DA" w:rsidRDefault="008000DA" w:rsidP="00054313">
            <w:pPr>
              <w:jc w:val="center"/>
              <w:rPr>
                <w:color w:val="000000"/>
              </w:rPr>
            </w:pPr>
            <w:r w:rsidRPr="008000DA">
              <w:rPr>
                <w:color w:val="000000"/>
              </w:rPr>
              <w:t>0.05</w:t>
            </w:r>
          </w:p>
        </w:tc>
        <w:tc>
          <w:tcPr>
            <w:tcW w:w="1931" w:type="dxa"/>
          </w:tcPr>
          <w:p w14:paraId="02C9E557" w14:textId="77777777" w:rsidR="008000DA" w:rsidRPr="008000DA" w:rsidRDefault="008000DA" w:rsidP="00054313">
            <w:pPr>
              <w:jc w:val="center"/>
              <w:rPr>
                <w:color w:val="000000"/>
              </w:rPr>
            </w:pPr>
            <w:r w:rsidRPr="008000DA">
              <w:rPr>
                <w:color w:val="000000"/>
              </w:rPr>
              <w:t xml:space="preserve">Ho </w:t>
            </w:r>
            <w:proofErr w:type="spellStart"/>
            <w:r w:rsidRPr="008000DA">
              <w:rPr>
                <w:color w:val="000000"/>
              </w:rPr>
              <w:t>Ditolak</w:t>
            </w:r>
            <w:proofErr w:type="spellEnd"/>
          </w:p>
        </w:tc>
      </w:tr>
      <w:tr w:rsidR="008000DA" w14:paraId="4C326745" w14:textId="77777777" w:rsidTr="00604A32">
        <w:tc>
          <w:tcPr>
            <w:tcW w:w="1373" w:type="dxa"/>
          </w:tcPr>
          <w:p w14:paraId="5D612092" w14:textId="77777777" w:rsidR="008000DA" w:rsidRPr="008000DA" w:rsidRDefault="008000DA" w:rsidP="00054313">
            <w:pPr>
              <w:rPr>
                <w:color w:val="000000"/>
              </w:rPr>
            </w:pPr>
            <w:r w:rsidRPr="008000DA">
              <w:rPr>
                <w:color w:val="000000"/>
              </w:rPr>
              <w:t>ATVA</w:t>
            </w:r>
          </w:p>
        </w:tc>
        <w:tc>
          <w:tcPr>
            <w:tcW w:w="1338" w:type="dxa"/>
            <w:vMerge/>
          </w:tcPr>
          <w:p w14:paraId="722B71A7" w14:textId="77777777" w:rsidR="008000DA" w:rsidRPr="008000DA" w:rsidRDefault="008000DA" w:rsidP="00054313">
            <w:pPr>
              <w:jc w:val="center"/>
              <w:rPr>
                <w:color w:val="000000"/>
              </w:rPr>
            </w:pPr>
          </w:p>
        </w:tc>
        <w:tc>
          <w:tcPr>
            <w:tcW w:w="1423" w:type="dxa"/>
          </w:tcPr>
          <w:p w14:paraId="07B41419" w14:textId="77777777" w:rsidR="008000DA" w:rsidRPr="008000DA" w:rsidRDefault="008000DA" w:rsidP="00054313">
            <w:pPr>
              <w:jc w:val="center"/>
              <w:rPr>
                <w:color w:val="000000"/>
              </w:rPr>
            </w:pPr>
            <w:r w:rsidRPr="008000DA">
              <w:rPr>
                <w:color w:val="000000"/>
              </w:rPr>
              <w:t>6</w:t>
            </w:r>
          </w:p>
        </w:tc>
        <w:tc>
          <w:tcPr>
            <w:tcW w:w="1467" w:type="dxa"/>
          </w:tcPr>
          <w:p w14:paraId="2273C373" w14:textId="77777777" w:rsidR="008000DA" w:rsidRPr="008000DA" w:rsidRDefault="008000DA" w:rsidP="00054313">
            <w:pPr>
              <w:jc w:val="center"/>
              <w:rPr>
                <w:color w:val="000000"/>
              </w:rPr>
            </w:pPr>
            <w:r w:rsidRPr="008000DA">
              <w:rPr>
                <w:color w:val="000000"/>
              </w:rPr>
              <w:t>0.030</w:t>
            </w:r>
          </w:p>
        </w:tc>
        <w:tc>
          <w:tcPr>
            <w:tcW w:w="1484" w:type="dxa"/>
          </w:tcPr>
          <w:p w14:paraId="4E1DC760" w14:textId="77777777" w:rsidR="008000DA" w:rsidRPr="008000DA" w:rsidRDefault="008000DA" w:rsidP="00054313">
            <w:pPr>
              <w:jc w:val="center"/>
              <w:rPr>
                <w:color w:val="000000"/>
              </w:rPr>
            </w:pPr>
            <w:r w:rsidRPr="008000DA">
              <w:rPr>
                <w:color w:val="000000"/>
              </w:rPr>
              <w:t>0.05</w:t>
            </w:r>
          </w:p>
        </w:tc>
        <w:tc>
          <w:tcPr>
            <w:tcW w:w="1931" w:type="dxa"/>
          </w:tcPr>
          <w:p w14:paraId="67769B58" w14:textId="77777777" w:rsidR="008000DA" w:rsidRPr="008000DA" w:rsidRDefault="008000DA" w:rsidP="00054313">
            <w:pPr>
              <w:jc w:val="center"/>
              <w:rPr>
                <w:color w:val="000000"/>
              </w:rPr>
            </w:pPr>
            <w:r w:rsidRPr="008000DA">
              <w:rPr>
                <w:color w:val="000000"/>
              </w:rPr>
              <w:t xml:space="preserve">Ho </w:t>
            </w:r>
            <w:proofErr w:type="spellStart"/>
            <w:r w:rsidRPr="008000DA">
              <w:rPr>
                <w:color w:val="000000"/>
              </w:rPr>
              <w:t>Ditolak</w:t>
            </w:r>
            <w:proofErr w:type="spellEnd"/>
          </w:p>
        </w:tc>
      </w:tr>
    </w:tbl>
    <w:bookmarkEnd w:id="3"/>
    <w:p w14:paraId="5825DC58" w14:textId="77777777" w:rsidR="008000DA" w:rsidRPr="008000DA" w:rsidRDefault="008000DA" w:rsidP="00054313">
      <w:pPr>
        <w:spacing w:before="240"/>
        <w:jc w:val="lowKashida"/>
        <w:rPr>
          <w:b/>
          <w:bCs/>
          <w:color w:val="000000"/>
        </w:rPr>
      </w:pPr>
      <w:r w:rsidRPr="008000DA">
        <w:rPr>
          <w:b/>
          <w:bCs/>
          <w:color w:val="000000"/>
        </w:rPr>
        <w:t>Discussion</w:t>
      </w:r>
    </w:p>
    <w:p w14:paraId="3F83016C" w14:textId="77777777" w:rsidR="008000DA" w:rsidRPr="008000DA" w:rsidRDefault="008000DA" w:rsidP="00054313">
      <w:pPr>
        <w:jc w:val="lowKashida"/>
        <w:rPr>
          <w:color w:val="000000"/>
        </w:rPr>
      </w:pPr>
      <w:r w:rsidRPr="008000DA">
        <w:rPr>
          <w:color w:val="000000"/>
        </w:rPr>
        <w:t>The results of the study show that the announcement of a BI Rate cut affected market reactions, as reflected in abnormal returns. Prior to the announcement, the market showed a positive response, indicating investor optimism. However, after the announcement, the direction of abnormal returns reversed to negative. This phenomenon can be interpreted to mean that although interest rate cuts are usually seen as a positive stimulus for the economy, market participants do not always respond enthusiastically. On the contrary, there were signs of caution that reflected investors' doubts about the effectiveness of this policy in the short term.</w:t>
      </w:r>
    </w:p>
    <w:p w14:paraId="1FDA63D4" w14:textId="77777777" w:rsidR="008000DA" w:rsidRPr="008000DA" w:rsidRDefault="008000DA" w:rsidP="00054313">
      <w:pPr>
        <w:jc w:val="lowKashida"/>
        <w:rPr>
          <w:color w:val="000000"/>
        </w:rPr>
      </w:pPr>
      <w:r w:rsidRPr="008000DA">
        <w:rPr>
          <w:color w:val="000000"/>
        </w:rPr>
        <w:t>The fluctuations in abnormal returns seen around the announcement date also reinforce the argument that monetary policy information has strong informational content for the capital market. The upward trend prior to the event can be linked to the anticipation effect phenomenon, which is the tendency of investors to react before official information is announced. After the announcement, the weakening abnormal return movement reflects that the market has begun to make adjustments by considering fundamental factors and long-term expectations.</w:t>
      </w:r>
    </w:p>
    <w:p w14:paraId="18347C75" w14:textId="77777777" w:rsidR="008000DA" w:rsidRPr="008000DA" w:rsidRDefault="008000DA" w:rsidP="00054313">
      <w:pPr>
        <w:jc w:val="lowKashida"/>
        <w:rPr>
          <w:color w:val="000000"/>
        </w:rPr>
      </w:pPr>
      <w:r w:rsidRPr="008000DA">
        <w:rPr>
          <w:color w:val="000000"/>
        </w:rPr>
        <w:t>These findings are in line with signaling theory, in which monetary policy acts as an important signal that is captured by market participants. However, not all signals are interpreted uniformly. The BI Rate cut does signal expansion, but for some investors, it can also be interpreted as an indication of domestic economic pressure. Thus, the market reacts in various ways, and the result is reflected in negative abnormal returns after the announcement. The hypothesis test results show that there is a significant difference in abnormal returns between the periods before and after the announcement, so it can be concluded that the market did respond to the policy.</w:t>
      </w:r>
    </w:p>
    <w:p w14:paraId="30975013" w14:textId="77777777" w:rsidR="008000DA" w:rsidRPr="008000DA" w:rsidRDefault="008000DA" w:rsidP="00054313">
      <w:pPr>
        <w:jc w:val="lowKashida"/>
        <w:rPr>
          <w:color w:val="000000"/>
        </w:rPr>
      </w:pPr>
      <w:r w:rsidRPr="008000DA">
        <w:rPr>
          <w:color w:val="000000"/>
        </w:rPr>
        <w:t>In terms of stock trading activity, the results of the study show a significant difference before and after the announcement. Before the announcement, trading volume was relatively higher, while after the announcement, activity declined. This condition can be understood as a wait-and-see response from investors. They tend to refrain from making transactions because they are still assessing the real impact of monetary policy on macroeconomic conditions and the performance of the banking sector. The hypothesis test results support this finding by showing a significant difference in trading volume between the periods before and after the event.</w:t>
      </w:r>
    </w:p>
    <w:p w14:paraId="37E7ABE4" w14:textId="77777777" w:rsidR="008000DA" w:rsidRPr="008000DA" w:rsidRDefault="008000DA" w:rsidP="00054313">
      <w:pPr>
        <w:jc w:val="lowKashida"/>
        <w:rPr>
          <w:color w:val="000000"/>
        </w:rPr>
      </w:pPr>
      <w:r w:rsidRPr="008000DA">
        <w:rPr>
          <w:color w:val="000000"/>
        </w:rPr>
        <w:t>The downward trend in trading activity after the announcement may also reflect a decline in speculative interest in the market. Investors are more cautious in making decisions, resulting in a decline in transaction volume. However, the gradual recovery pattern several days after the announcement indicates that the market is beginning to adjust. This supports the view that the impact of monetary policy is temporary, before the market eventually stabilizes. Thus, the BI Rate announcement not only affects returns but also market liquidity dynamics.</w:t>
      </w:r>
    </w:p>
    <w:p w14:paraId="0BEC58B1" w14:textId="0649A41B" w:rsidR="008000DA" w:rsidRDefault="008000DA" w:rsidP="00054313">
      <w:pPr>
        <w:jc w:val="lowKashida"/>
        <w:rPr>
          <w:color w:val="000000"/>
        </w:rPr>
      </w:pPr>
      <w:r w:rsidRPr="008000DA">
        <w:rPr>
          <w:color w:val="000000"/>
        </w:rPr>
        <w:lastRenderedPageBreak/>
        <w:t>Overall, the results of this study confirm that the announcement of a BI Rate cut has a real impact on both abnormal returns and stock trading volume activity. The market's reaction is not entirely positive, but mixed with signals of caution. The hypothesis test results, which show significant differences in both variables, reinforce the conclusion that monetary policy can trigger market reactions that can be measured statistically. Thus, investment decisions in the capital market are greatly influenced by how investors interpret monetary policy signals and their perceptions of risk and future economic prospects.</w:t>
      </w:r>
    </w:p>
    <w:p w14:paraId="4759B08F" w14:textId="03B4470E" w:rsidR="00DF0BEE" w:rsidRPr="00054313" w:rsidRDefault="00DD61AF" w:rsidP="00054313">
      <w:pPr>
        <w:pStyle w:val="ListParagraph"/>
        <w:numPr>
          <w:ilvl w:val="0"/>
          <w:numId w:val="7"/>
        </w:numPr>
        <w:spacing w:before="240"/>
        <w:ind w:left="284" w:hanging="284"/>
        <w:rPr>
          <w:b/>
          <w:bCs/>
          <w:lang w:val="en"/>
        </w:rPr>
      </w:pPr>
      <w:r w:rsidRPr="00054313">
        <w:rPr>
          <w:b/>
          <w:bCs/>
          <w:lang w:val="en"/>
        </w:rPr>
        <w:t>Conclusion</w:t>
      </w:r>
    </w:p>
    <w:p w14:paraId="21F9C742" w14:textId="5EEECCAC" w:rsidR="00FA05F7" w:rsidRPr="00054313" w:rsidRDefault="00FA05F7" w:rsidP="00054313">
      <w:pPr>
        <w:widowControl w:val="0"/>
        <w:autoSpaceDE w:val="0"/>
        <w:autoSpaceDN w:val="0"/>
        <w:adjustRightInd w:val="0"/>
        <w:rPr>
          <w:color w:val="000000"/>
          <w:szCs w:val="20"/>
          <w:lang w:val="en"/>
        </w:rPr>
      </w:pPr>
      <w:bookmarkStart w:id="4" w:name="_Hlk67818646"/>
      <w:r w:rsidRPr="00FA05F7">
        <w:rPr>
          <w:color w:val="000000"/>
          <w:szCs w:val="20"/>
          <w:lang w:val="en"/>
        </w:rPr>
        <w:t>Based on the discussion and analysis of data regarding the effect of the announcement of a reduction in the BI Rate on LQ45 index banking companies listed on the Indonesia Stock Exchange, the following conclusions can be drawn:</w:t>
      </w:r>
      <w:r w:rsidR="00054313">
        <w:rPr>
          <w:color w:val="000000"/>
          <w:szCs w:val="20"/>
          <w:lang w:val="en"/>
        </w:rPr>
        <w:t xml:space="preserve"> 1). </w:t>
      </w:r>
      <w:r w:rsidRPr="00054313">
        <w:rPr>
          <w:color w:val="000000"/>
          <w:szCs w:val="20"/>
          <w:lang w:val="en"/>
        </w:rPr>
        <w:t>The announcement of a reduction in the BI Rate has a significant effect on abnormal returns before and after the announcement. Therefore, the first hypothesis of the study, which states that there is a significant difference in abnormal returns before and after the announcement of the BI Rate reduction, is accepted</w:t>
      </w:r>
      <w:r w:rsidR="005226D5">
        <w:rPr>
          <w:color w:val="000000"/>
          <w:szCs w:val="20"/>
          <w:lang w:val="en"/>
        </w:rPr>
        <w:t>.</w:t>
      </w:r>
      <w:r w:rsidR="00054313">
        <w:rPr>
          <w:color w:val="000000"/>
          <w:szCs w:val="20"/>
          <w:lang w:val="en"/>
        </w:rPr>
        <w:t xml:space="preserve"> 2). </w:t>
      </w:r>
      <w:r w:rsidRPr="00054313">
        <w:rPr>
          <w:color w:val="000000"/>
          <w:szCs w:val="20"/>
          <w:lang w:val="en"/>
        </w:rPr>
        <w:t>The announcement of the BI Rate reduction has a significant effect on trading volume activity before and after the announcement, as measured by trading volume. Therefore, the second hypothesis of the study, which states that there is a significant difference in stock trading volume before and after the announcement of the BI Rate reduction, is accepted.</w:t>
      </w:r>
    </w:p>
    <w:bookmarkEnd w:id="4"/>
    <w:p w14:paraId="5E74C680" w14:textId="77777777" w:rsidR="00A11036" w:rsidRPr="00CA2057" w:rsidRDefault="00A11036" w:rsidP="005226D5">
      <w:pPr>
        <w:pStyle w:val="Heading1"/>
        <w:tabs>
          <w:tab w:val="left" w:pos="284"/>
        </w:tabs>
      </w:pPr>
      <w:r w:rsidRPr="006A7A66">
        <w:t>Reference</w:t>
      </w:r>
    </w:p>
    <w:p w14:paraId="227DF276"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b/>
          <w:bCs/>
          <w:kern w:val="2"/>
          <w:sz w:val="16"/>
          <w:szCs w:val="16"/>
          <w14:ligatures w14:val="standardContextual"/>
        </w:rPr>
        <w:fldChar w:fldCharType="begin"/>
      </w:r>
      <w:r w:rsidRPr="005226D5">
        <w:rPr>
          <w:b/>
          <w:bCs/>
          <w:kern w:val="2"/>
          <w:sz w:val="16"/>
          <w:szCs w:val="16"/>
          <w14:ligatures w14:val="standardContextual"/>
        </w:rPr>
        <w:instrText xml:space="preserve"> ADDIN ZOTERO_BIBL {"uncited":[],"omitted":[],"custom":[]} CSL_BIBLIOGRAPHY </w:instrText>
      </w:r>
      <w:r w:rsidRPr="005226D5">
        <w:rPr>
          <w:b/>
          <w:bCs/>
          <w:kern w:val="2"/>
          <w:sz w:val="16"/>
          <w:szCs w:val="16"/>
          <w14:ligatures w14:val="standardContextual"/>
        </w:rPr>
        <w:fldChar w:fldCharType="separate"/>
      </w:r>
      <w:proofErr w:type="spellStart"/>
      <w:r w:rsidRPr="005226D5">
        <w:rPr>
          <w:kern w:val="2"/>
          <w:sz w:val="16"/>
          <w:szCs w:val="16"/>
          <w:lang w:val="en-ID"/>
          <w14:ligatures w14:val="standardContextual"/>
        </w:rPr>
        <w:t>Auguets</w:t>
      </w:r>
      <w:proofErr w:type="spellEnd"/>
      <w:r w:rsidRPr="005226D5">
        <w:rPr>
          <w:kern w:val="2"/>
          <w:sz w:val="16"/>
          <w:szCs w:val="16"/>
          <w:lang w:val="en-ID"/>
          <w14:ligatures w14:val="standardContextual"/>
        </w:rPr>
        <w:t xml:space="preserve">, X.-P., Martinez-Blasco, M., &amp; García-Blandón, J. (2017). The sixth merger wave and wealth effects of M&amp;A announcements: An analysis of large European bidding companies. </w:t>
      </w:r>
      <w:r w:rsidRPr="005226D5">
        <w:rPr>
          <w:i/>
          <w:iCs/>
          <w:kern w:val="2"/>
          <w:sz w:val="16"/>
          <w:szCs w:val="16"/>
          <w:lang w:val="en-ID"/>
          <w14:ligatures w14:val="standardContextual"/>
        </w:rPr>
        <w:t>European Accounting and Management Review</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4</w:t>
      </w:r>
      <w:r w:rsidRPr="005226D5">
        <w:rPr>
          <w:kern w:val="2"/>
          <w:sz w:val="16"/>
          <w:szCs w:val="16"/>
          <w:lang w:val="en-ID"/>
          <w14:ligatures w14:val="standardContextual"/>
        </w:rPr>
        <w:t>(1), 19–48. https://doi.org/10.26595/eamr.2014.4.1.2</w:t>
      </w:r>
    </w:p>
    <w:p w14:paraId="54CB69CA"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Cahyaningdyah, D., &amp; Cahyasani, N. A. (2017). Analisis Reaksi Pasar Modal Atas Pengumuman Kenaikan BI Rate Tanggal 12 November 2013. </w:t>
      </w:r>
      <w:r w:rsidRPr="005226D5">
        <w:rPr>
          <w:i/>
          <w:iCs/>
          <w:kern w:val="2"/>
          <w:sz w:val="16"/>
          <w:szCs w:val="16"/>
          <w:lang w:val="en-ID"/>
          <w14:ligatures w14:val="standardContextual"/>
        </w:rPr>
        <w:t>Jurnal Maksipreneur: Manajemen, Koperasi, Dan Entrepreneurship</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6</w:t>
      </w:r>
      <w:r w:rsidRPr="005226D5">
        <w:rPr>
          <w:kern w:val="2"/>
          <w:sz w:val="16"/>
          <w:szCs w:val="16"/>
          <w:lang w:val="en-ID"/>
          <w14:ligatures w14:val="standardContextual"/>
        </w:rPr>
        <w:t>(2), 56. https://doi.org/10.30588/jmp.v6i2.302</w:t>
      </w:r>
    </w:p>
    <w:p w14:paraId="1AA64AD1"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Fajarwati, P. Y. &amp; Nurasik. (2021). Capital Market Reaction Analysis Before and After Bank Indonesia’s Decision Regarding Interest Rates. </w:t>
      </w:r>
      <w:r w:rsidRPr="005226D5">
        <w:rPr>
          <w:i/>
          <w:iCs/>
          <w:kern w:val="2"/>
          <w:sz w:val="16"/>
          <w:szCs w:val="16"/>
          <w:lang w:val="en-ID"/>
          <w14:ligatures w14:val="standardContextual"/>
        </w:rPr>
        <w:t>Academia Open</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3</w:t>
      </w:r>
      <w:r w:rsidRPr="005226D5">
        <w:rPr>
          <w:kern w:val="2"/>
          <w:sz w:val="16"/>
          <w:szCs w:val="16"/>
          <w:lang w:val="en-ID"/>
          <w14:ligatures w14:val="standardContextual"/>
        </w:rPr>
        <w:t>. https://doi.org/10.21070/acopen.3.2020.1149</w:t>
      </w:r>
    </w:p>
    <w:p w14:paraId="789104FF"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Fama, E. F. (1970). Efficient Capital Markets: A Review of Theory and Empirical Work. </w:t>
      </w:r>
      <w:r w:rsidRPr="005226D5">
        <w:rPr>
          <w:i/>
          <w:iCs/>
          <w:kern w:val="2"/>
          <w:sz w:val="16"/>
          <w:szCs w:val="16"/>
          <w:lang w:val="en-ID"/>
          <w14:ligatures w14:val="standardContextual"/>
        </w:rPr>
        <w:t>The Journal of Finance</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25</w:t>
      </w:r>
      <w:r w:rsidRPr="005226D5">
        <w:rPr>
          <w:kern w:val="2"/>
          <w:sz w:val="16"/>
          <w:szCs w:val="16"/>
          <w:lang w:val="en-ID"/>
          <w14:ligatures w14:val="standardContextual"/>
        </w:rPr>
        <w:t>(2), 383–417. https://doi.org/10.2307/2325486</w:t>
      </w:r>
    </w:p>
    <w:p w14:paraId="6E799901"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Fatih, A., &amp; Ismiyanti, F. (2016). Pengaruh Perubahan BI Rate Terhadap Market Return Dan Volatilitas Indeks LQ45. </w:t>
      </w:r>
      <w:r w:rsidRPr="005226D5">
        <w:rPr>
          <w:i/>
          <w:iCs/>
          <w:kern w:val="2"/>
          <w:sz w:val="16"/>
          <w:szCs w:val="16"/>
          <w:lang w:val="en-ID"/>
          <w14:ligatures w14:val="standardContextual"/>
        </w:rPr>
        <w:t>Jurnal Manajemen Teori Dan Terapan| Journal of Theory and Applied Management</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8</w:t>
      </w:r>
      <w:r w:rsidRPr="005226D5">
        <w:rPr>
          <w:kern w:val="2"/>
          <w:sz w:val="16"/>
          <w:szCs w:val="16"/>
          <w:lang w:val="en-ID"/>
          <w14:ligatures w14:val="standardContextual"/>
        </w:rPr>
        <w:t>(1). https://doi.org/10.20473/jmtt.v8i1.2713</w:t>
      </w:r>
    </w:p>
    <w:p w14:paraId="49EFAAA2"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Humaira, P., Naz’aina, N., Yunina, Y., &amp; Indrayani, I. (2022). Pengaruh Tingkat Kemahalan Harga Saham, Trading Volume Activity Dan Return Saham Terhadap Keputusan Stock Split Pada Perusahaan Yang Terdaftar Di Bursa Efek Indonesia Tahun 2017-2020. </w:t>
      </w:r>
      <w:r w:rsidRPr="005226D5">
        <w:rPr>
          <w:i/>
          <w:iCs/>
          <w:kern w:val="2"/>
          <w:sz w:val="16"/>
          <w:szCs w:val="16"/>
          <w:lang w:val="en-ID"/>
          <w14:ligatures w14:val="standardContextual"/>
        </w:rPr>
        <w:t>Jurnal Akuntansi Malikussaleh (JAM)</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1</w:t>
      </w:r>
      <w:r w:rsidRPr="005226D5">
        <w:rPr>
          <w:kern w:val="2"/>
          <w:sz w:val="16"/>
          <w:szCs w:val="16"/>
          <w:lang w:val="en-ID"/>
          <w14:ligatures w14:val="standardContextual"/>
        </w:rPr>
        <w:t>(1), 16. https://doi.org/10.29103/jam.v1i1.7160</w:t>
      </w:r>
    </w:p>
    <w:p w14:paraId="0A71D8A7"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IDX. (2024). </w:t>
      </w:r>
      <w:r w:rsidRPr="005226D5">
        <w:rPr>
          <w:i/>
          <w:iCs/>
          <w:kern w:val="2"/>
          <w:sz w:val="16"/>
          <w:szCs w:val="16"/>
          <w:lang w:val="en-ID"/>
          <w14:ligatures w14:val="standardContextual"/>
        </w:rPr>
        <w:t>Investor Asing Catatkan Posisi Beli Menuju Penghujung Tahun 2024</w:t>
      </w:r>
      <w:r w:rsidRPr="005226D5">
        <w:rPr>
          <w:kern w:val="2"/>
          <w:sz w:val="16"/>
          <w:szCs w:val="16"/>
          <w:lang w:val="en-ID"/>
          <w14:ligatures w14:val="standardContextual"/>
        </w:rPr>
        <w:t>. Indonesia Stock Exchange. https://www.idx.co.id/</w:t>
      </w:r>
    </w:p>
    <w:p w14:paraId="4C91434D"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Martin Luter Purba, Jusmer Sihotang, Nancy Nopeline, &amp; Dameria Sofyana Br Napitupulu. (2025). Implikasi Kebijakan Moneter Pada Pasar Modal Indonesia. </w:t>
      </w:r>
      <w:r w:rsidRPr="005226D5">
        <w:rPr>
          <w:i/>
          <w:iCs/>
          <w:kern w:val="2"/>
          <w:sz w:val="16"/>
          <w:szCs w:val="16"/>
          <w:lang w:val="en-ID"/>
          <w14:ligatures w14:val="standardContextual"/>
        </w:rPr>
        <w:t>El-Mal: Jurnal Kajian Ekonomi &amp; Bisnis Islam</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6</w:t>
      </w:r>
      <w:r w:rsidRPr="005226D5">
        <w:rPr>
          <w:kern w:val="2"/>
          <w:sz w:val="16"/>
          <w:szCs w:val="16"/>
          <w:lang w:val="en-ID"/>
          <w14:ligatures w14:val="standardContextual"/>
        </w:rPr>
        <w:t>(2). https://doi.org/10.47467/elmal.v6i2.7133</w:t>
      </w:r>
    </w:p>
    <w:p w14:paraId="7BCFC97F"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Obeid, R. (2024). Factors affecting net interest margin in the banking sector: Evidence from the Arab region. </w:t>
      </w:r>
      <w:r w:rsidRPr="005226D5">
        <w:rPr>
          <w:i/>
          <w:iCs/>
          <w:kern w:val="2"/>
          <w:sz w:val="16"/>
          <w:szCs w:val="16"/>
          <w:lang w:val="en-ID"/>
          <w14:ligatures w14:val="standardContextual"/>
        </w:rPr>
        <w:t>Journal of Governance and Regulation</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13</w:t>
      </w:r>
      <w:r w:rsidRPr="005226D5">
        <w:rPr>
          <w:kern w:val="2"/>
          <w:sz w:val="16"/>
          <w:szCs w:val="16"/>
          <w:lang w:val="en-ID"/>
          <w14:ligatures w14:val="standardContextual"/>
        </w:rPr>
        <w:t>(1), 214–222. https://doi.org/10.22495/jgrv13i1art19</w:t>
      </w:r>
    </w:p>
    <w:p w14:paraId="6D71F5E2"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Oktavennica, M. A., Nurfadillah, M., &amp; Jamal, S. W. (2025). Pengaruh Suku Bunga dan Kurs Mata Uang Terhadap Harga Saham pada Sektor Perbankan. </w:t>
      </w:r>
      <w:proofErr w:type="gramStart"/>
      <w:r w:rsidRPr="005226D5">
        <w:rPr>
          <w:i/>
          <w:iCs/>
          <w:kern w:val="2"/>
          <w:sz w:val="16"/>
          <w:szCs w:val="16"/>
          <w:lang w:val="en-ID"/>
          <w14:ligatures w14:val="standardContextual"/>
        </w:rPr>
        <w:t>Balance :</w:t>
      </w:r>
      <w:proofErr w:type="gramEnd"/>
      <w:r w:rsidRPr="005226D5">
        <w:rPr>
          <w:i/>
          <w:iCs/>
          <w:kern w:val="2"/>
          <w:sz w:val="16"/>
          <w:szCs w:val="16"/>
          <w:lang w:val="en-ID"/>
          <w14:ligatures w14:val="standardContextual"/>
        </w:rPr>
        <w:t xml:space="preserve"> Jurnal Akuntansi Dan Manajemen</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4</w:t>
      </w:r>
      <w:r w:rsidRPr="005226D5">
        <w:rPr>
          <w:kern w:val="2"/>
          <w:sz w:val="16"/>
          <w:szCs w:val="16"/>
          <w:lang w:val="en-ID"/>
          <w14:ligatures w14:val="standardContextual"/>
        </w:rPr>
        <w:t>(2), 1096–1108. https://doi.org/10.59086/jam.v4i2.841</w:t>
      </w:r>
    </w:p>
    <w:p w14:paraId="47F2DCE8"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Rahmi, I. P., &amp; Jamal, S. W. (2019). Analisis BI Rate Dan Kurs Rupiah Terhadap Volume Perdagangan Saham Di Bursa Efek Indonesia Periode Tahun 2016-2018. </w:t>
      </w:r>
      <w:r w:rsidRPr="005226D5">
        <w:rPr>
          <w:i/>
          <w:iCs/>
          <w:kern w:val="2"/>
          <w:sz w:val="16"/>
          <w:szCs w:val="16"/>
          <w:lang w:val="en-ID"/>
          <w14:ligatures w14:val="standardContextual"/>
        </w:rPr>
        <w:t>Borneo Studies and Research</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1</w:t>
      </w:r>
      <w:r w:rsidRPr="005226D5">
        <w:rPr>
          <w:kern w:val="2"/>
          <w:sz w:val="16"/>
          <w:szCs w:val="16"/>
          <w:lang w:val="en-ID"/>
          <w14:ligatures w14:val="standardContextual"/>
        </w:rPr>
        <w:t>(1), 585–592.</w:t>
      </w:r>
    </w:p>
    <w:p w14:paraId="4B118939" w14:textId="3AE01BD5"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Rusadi, P. M., &amp; Nugroho, R. H. (2024). Pengaruh Makroekonomi dan Volume Perdagangan Saham Terhadap Harga Saham Perusahaan Sub Sektor Perbankan yang Terdaftar di Bursa Efek Indonesia (BEI). </w:t>
      </w:r>
      <w:r w:rsidRPr="005226D5">
        <w:rPr>
          <w:i/>
          <w:iCs/>
          <w:kern w:val="2"/>
          <w:sz w:val="16"/>
          <w:szCs w:val="16"/>
          <w:lang w:val="en-ID"/>
          <w14:ligatures w14:val="standardContextual"/>
        </w:rPr>
        <w:t xml:space="preserve">Syntax </w:t>
      </w:r>
      <w:proofErr w:type="gramStart"/>
      <w:r w:rsidRPr="005226D5">
        <w:rPr>
          <w:i/>
          <w:iCs/>
          <w:kern w:val="2"/>
          <w:sz w:val="16"/>
          <w:szCs w:val="16"/>
          <w:lang w:val="en-ID"/>
          <w14:ligatures w14:val="standardContextual"/>
        </w:rPr>
        <w:t>Literate ;</w:t>
      </w:r>
      <w:proofErr w:type="gramEnd"/>
      <w:r w:rsidRPr="005226D5">
        <w:rPr>
          <w:i/>
          <w:iCs/>
          <w:kern w:val="2"/>
          <w:sz w:val="16"/>
          <w:szCs w:val="16"/>
          <w:lang w:val="en-ID"/>
          <w14:ligatures w14:val="standardContextual"/>
        </w:rPr>
        <w:t xml:space="preserve"> Jurnal Ilmiah Indonesia</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9</w:t>
      </w:r>
      <w:r w:rsidRPr="005226D5">
        <w:rPr>
          <w:kern w:val="2"/>
          <w:sz w:val="16"/>
          <w:szCs w:val="16"/>
          <w:lang w:val="en-ID"/>
          <w14:ligatures w14:val="standardContextual"/>
        </w:rPr>
        <w:t>(2), 1017–1030. https://doi.org/10.36418/syntax-literate.v9i2.15252</w:t>
      </w:r>
      <w:r w:rsidR="005226D5">
        <w:rPr>
          <w:kern w:val="2"/>
          <w:sz w:val="16"/>
          <w:szCs w:val="16"/>
          <w:lang w:val="en-ID"/>
          <w14:ligatures w14:val="standardContextual"/>
        </w:rPr>
        <w:t xml:space="preserve"> </w:t>
      </w:r>
    </w:p>
    <w:p w14:paraId="7ACA1A7B"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Sumantyo, R., &amp; Anggraeni, D. (2016). The Effect of BI Rate’s Decrease Toward </w:t>
      </w:r>
      <w:proofErr w:type="gramStart"/>
      <w:r w:rsidRPr="005226D5">
        <w:rPr>
          <w:kern w:val="2"/>
          <w:sz w:val="16"/>
          <w:szCs w:val="16"/>
          <w:lang w:val="en-ID"/>
          <w14:ligatures w14:val="standardContextual"/>
        </w:rPr>
        <w:t>The</w:t>
      </w:r>
      <w:proofErr w:type="gramEnd"/>
      <w:r w:rsidRPr="005226D5">
        <w:rPr>
          <w:kern w:val="2"/>
          <w:sz w:val="16"/>
          <w:szCs w:val="16"/>
          <w:lang w:val="en-ID"/>
          <w14:ligatures w14:val="standardContextual"/>
        </w:rPr>
        <w:t xml:space="preserve"> Market Reaction in Indonesia Stock Exchange (IDX). </w:t>
      </w:r>
      <w:r w:rsidRPr="005226D5">
        <w:rPr>
          <w:i/>
          <w:iCs/>
          <w:kern w:val="2"/>
          <w:sz w:val="16"/>
          <w:szCs w:val="16"/>
          <w:lang w:val="en-ID"/>
          <w14:ligatures w14:val="standardContextual"/>
        </w:rPr>
        <w:t>Jurnal Ekonomi Pembangunan: Kajian Masalah Ekonomi Dan Pembangunan</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17</w:t>
      </w:r>
      <w:r w:rsidRPr="005226D5">
        <w:rPr>
          <w:kern w:val="2"/>
          <w:sz w:val="16"/>
          <w:szCs w:val="16"/>
          <w:lang w:val="en-ID"/>
          <w14:ligatures w14:val="standardContextual"/>
        </w:rPr>
        <w:t>(2), 205. https://doi.org/10.23917/jep.v17i2.2747</w:t>
      </w:r>
    </w:p>
    <w:p w14:paraId="3666EB87" w14:textId="77777777"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Wahyuni, N. D., &amp; Sukmaningrum, P. S. (2019). ANALISIS ABNORMAL RETURN DAN TRADING VOLUME ACTIVITY SEBELUM DAN SESUDAH PENGUMUMAN PBI NOMOR 18/16/PBI/2016 TENTANG PELONGGARAN RASIO LOAN TO VALUE (LTV) KPR. </w:t>
      </w:r>
      <w:r w:rsidRPr="005226D5">
        <w:rPr>
          <w:i/>
          <w:iCs/>
          <w:kern w:val="2"/>
          <w:sz w:val="16"/>
          <w:szCs w:val="16"/>
          <w:lang w:val="en-ID"/>
          <w14:ligatures w14:val="standardContextual"/>
        </w:rPr>
        <w:t>Jurnal Ekonomi Syariah Teori Dan Terapan</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5</w:t>
      </w:r>
      <w:r w:rsidRPr="005226D5">
        <w:rPr>
          <w:kern w:val="2"/>
          <w:sz w:val="16"/>
          <w:szCs w:val="16"/>
          <w:lang w:val="en-ID"/>
          <w14:ligatures w14:val="standardContextual"/>
        </w:rPr>
        <w:t>(9), 713. https://doi.org/10.20473/vol5iss20189pp713-727</w:t>
      </w:r>
    </w:p>
    <w:p w14:paraId="256663D9" w14:textId="46155163" w:rsidR="00FA05F7" w:rsidRPr="005226D5" w:rsidRDefault="00FA05F7" w:rsidP="005226D5">
      <w:pPr>
        <w:pStyle w:val="ListParagraph"/>
        <w:numPr>
          <w:ilvl w:val="0"/>
          <w:numId w:val="13"/>
        </w:numPr>
        <w:spacing w:after="0"/>
        <w:ind w:left="426" w:hanging="426"/>
        <w:jc w:val="left"/>
        <w:rPr>
          <w:kern w:val="2"/>
          <w:sz w:val="16"/>
          <w:szCs w:val="16"/>
          <w:lang w:val="en-ID"/>
          <w14:ligatures w14:val="standardContextual"/>
        </w:rPr>
      </w:pPr>
      <w:r w:rsidRPr="005226D5">
        <w:rPr>
          <w:kern w:val="2"/>
          <w:sz w:val="16"/>
          <w:szCs w:val="16"/>
          <w:lang w:val="en-ID"/>
          <w14:ligatures w14:val="standardContextual"/>
        </w:rPr>
        <w:t xml:space="preserve">Yadav, P. (1992). Event studies based on volatility of returns and trading volume: A review***. </w:t>
      </w:r>
      <w:r w:rsidRPr="005226D5">
        <w:rPr>
          <w:i/>
          <w:iCs/>
          <w:kern w:val="2"/>
          <w:sz w:val="16"/>
          <w:szCs w:val="16"/>
          <w:lang w:val="en-ID"/>
          <w14:ligatures w14:val="standardContextual"/>
        </w:rPr>
        <w:t>British Accounting Review</w:t>
      </w:r>
      <w:r w:rsidRPr="005226D5">
        <w:rPr>
          <w:kern w:val="2"/>
          <w:sz w:val="16"/>
          <w:szCs w:val="16"/>
          <w:lang w:val="en-ID"/>
          <w14:ligatures w14:val="standardContextual"/>
        </w:rPr>
        <w:t xml:space="preserve">, </w:t>
      </w:r>
      <w:r w:rsidRPr="005226D5">
        <w:rPr>
          <w:i/>
          <w:iCs/>
          <w:kern w:val="2"/>
          <w:sz w:val="16"/>
          <w:szCs w:val="16"/>
          <w:lang w:val="en-ID"/>
          <w14:ligatures w14:val="standardContextual"/>
        </w:rPr>
        <w:t>24</w:t>
      </w:r>
      <w:r w:rsidRPr="005226D5">
        <w:rPr>
          <w:kern w:val="2"/>
          <w:sz w:val="16"/>
          <w:szCs w:val="16"/>
          <w:lang w:val="en-ID"/>
          <w14:ligatures w14:val="standardContextual"/>
        </w:rPr>
        <w:t>, 157–184. https://doi.org/10.1016/S0890-8389(05)80007-1</w:t>
      </w:r>
      <w:r w:rsidR="005226D5">
        <w:rPr>
          <w:kern w:val="2"/>
          <w:sz w:val="16"/>
          <w:szCs w:val="16"/>
          <w:lang w:val="en-ID"/>
          <w14:ligatures w14:val="standardContextual"/>
        </w:rPr>
        <w:t xml:space="preserve"> </w:t>
      </w:r>
    </w:p>
    <w:p w14:paraId="515E62AB" w14:textId="64115272" w:rsidR="00971375" w:rsidRPr="008F6707" w:rsidRDefault="00FA05F7" w:rsidP="005226D5">
      <w:pPr>
        <w:pStyle w:val="Rujukan"/>
        <w:spacing w:after="120"/>
        <w:ind w:left="426" w:hanging="426"/>
        <w:rPr>
          <w:lang w:val="id-ID"/>
        </w:rPr>
      </w:pPr>
      <w:r w:rsidRPr="005226D5">
        <w:rPr>
          <w:b/>
          <w:bCs/>
          <w:kern w:val="2"/>
          <w:szCs w:val="16"/>
          <w14:ligatures w14:val="standardContextual"/>
        </w:rPr>
        <w:fldChar w:fldCharType="end"/>
      </w:r>
    </w:p>
    <w:p w14:paraId="0139D504" w14:textId="77777777" w:rsidR="00A478DE" w:rsidRDefault="00A478DE" w:rsidP="00054313">
      <w:pPr>
        <w:spacing w:after="120"/>
        <w:rPr>
          <w:b/>
          <w:color w:val="FF0000"/>
          <w:szCs w:val="20"/>
          <w:lang w:val="id-ID"/>
        </w:rPr>
      </w:pPr>
    </w:p>
    <w:p w14:paraId="254F27D0" w14:textId="68B71427" w:rsidR="002F5468" w:rsidRDefault="002F5468" w:rsidP="00054313">
      <w:pPr>
        <w:spacing w:after="0"/>
        <w:rPr>
          <w:color w:val="000000"/>
          <w:szCs w:val="20"/>
          <w:lang w:val="id-ID"/>
        </w:rPr>
      </w:pPr>
    </w:p>
    <w:p w14:paraId="5552A6CE" w14:textId="77777777" w:rsidR="008717E0" w:rsidRDefault="008717E0" w:rsidP="00054313">
      <w:pPr>
        <w:rPr>
          <w:color w:val="0070C0"/>
          <w:sz w:val="24"/>
        </w:rPr>
      </w:pPr>
    </w:p>
    <w:p w14:paraId="0E3D04B5" w14:textId="638A8D11" w:rsidR="002F5468" w:rsidRDefault="002F5468" w:rsidP="00054313">
      <w:pPr>
        <w:rPr>
          <w:color w:val="0070C0"/>
          <w:sz w:val="24"/>
        </w:rPr>
        <w:sectPr w:rsidR="002F5468" w:rsidSect="00EC587A">
          <w:type w:val="continuous"/>
          <w:pgSz w:w="11906" w:h="16838"/>
          <w:pgMar w:top="1418" w:right="1418" w:bottom="1418" w:left="1418" w:header="709" w:footer="709" w:gutter="0"/>
          <w:cols w:space="227"/>
          <w:docGrid w:linePitch="360"/>
        </w:sectPr>
      </w:pPr>
    </w:p>
    <w:p w14:paraId="41678428" w14:textId="3CD68F1C" w:rsidR="008717E0" w:rsidRPr="00D72779" w:rsidRDefault="008717E0" w:rsidP="00054313">
      <w:pPr>
        <w:rPr>
          <w:color w:val="0070C0"/>
          <w:sz w:val="24"/>
        </w:rPr>
      </w:pPr>
    </w:p>
    <w:sectPr w:rsidR="008717E0" w:rsidRPr="00D72779"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5EF6" w14:textId="77777777" w:rsidR="00B54CD1" w:rsidRDefault="00B54CD1">
      <w:pPr>
        <w:spacing w:after="0"/>
      </w:pPr>
      <w:r>
        <w:separator/>
      </w:r>
    </w:p>
  </w:endnote>
  <w:endnote w:type="continuationSeparator" w:id="0">
    <w:p w14:paraId="45995256" w14:textId="77777777" w:rsidR="00B54CD1" w:rsidRDefault="00B54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476DE55C"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1" w:name="_Hlk70513816"/>
    <w:r w:rsidRPr="00190B77">
      <w:rPr>
        <w:rFonts w:eastAsia="Times New Roman"/>
        <w:color w:val="000000"/>
        <w:lang w:val="id-ID"/>
      </w:rPr>
      <w:t>DOI: https://doi.org/10.</w:t>
    </w:r>
    <w:proofErr w:type="spellStart"/>
    <w:r w:rsidR="00671DC2">
      <w:rPr>
        <w:rFonts w:eastAsia="Times New Roman"/>
        <w:color w:val="000000"/>
      </w:rPr>
      <w:t>xxxx</w:t>
    </w:r>
    <w:proofErr w:type="spellEnd"/>
    <w:r w:rsidRPr="00190B77">
      <w:rPr>
        <w:rFonts w:eastAsia="Times New Roman"/>
        <w:color w:val="000000"/>
        <w:lang w:val="id-ID"/>
      </w:rPr>
      <w:t>/</w:t>
    </w:r>
    <w:r w:rsidR="00671DC2">
      <w:rPr>
        <w:rFonts w:eastAsia="Times New Roman"/>
        <w:color w:val="000000"/>
      </w:rPr>
      <w:t>riggs</w:t>
    </w:r>
    <w:r w:rsidRPr="00190B77">
      <w:rPr>
        <w:rFonts w:eastAsia="Times New Roman"/>
        <w:color w:val="000000"/>
        <w:lang w:val="id-ID"/>
      </w:rPr>
      <w:t>.</w:t>
    </w:r>
    <w:proofErr w:type="spellStart"/>
    <w:r w:rsidR="00671DC2">
      <w:rPr>
        <w:rFonts w:eastAsia="Times New Roman"/>
        <w:color w:val="000000"/>
      </w:rPr>
      <w:t>xxxx</w:t>
    </w:r>
    <w:proofErr w:type="spellEnd"/>
    <w:r w:rsidRPr="00190B77">
      <w:rPr>
        <w:rFonts w:eastAsia="Times New Roman"/>
        <w:color w:val="000000"/>
        <w:lang w:val="id-ID"/>
      </w:rPr>
      <w:t>.xxx</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9610" w14:textId="77777777" w:rsidR="00B54CD1" w:rsidRDefault="00B54CD1">
      <w:pPr>
        <w:spacing w:after="0"/>
      </w:pPr>
      <w:r>
        <w:separator/>
      </w:r>
    </w:p>
  </w:footnote>
  <w:footnote w:type="continuationSeparator" w:id="0">
    <w:p w14:paraId="3F871CD0" w14:textId="77777777" w:rsidR="00B54CD1" w:rsidRDefault="00B54C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122E5C59" w:rsidR="0033260F" w:rsidRPr="00B95B45" w:rsidRDefault="00A84A35" w:rsidP="009A3B7A">
    <w:pPr>
      <w:pStyle w:val="Subtitle"/>
      <w:spacing w:after="20"/>
      <w:rPr>
        <w:rStyle w:val="SubtleEmphasis"/>
        <w:b w:val="0"/>
        <w:sz w:val="20"/>
      </w:rPr>
    </w:pPr>
    <w:r>
      <w:rPr>
        <w:color w:val="000000"/>
        <w:lang w:val="id-ID"/>
      </w:rPr>
      <w:t xml:space="preserve"> </w:t>
    </w:r>
    <w:r w:rsidR="009A3B7A">
      <w:rPr>
        <w:rStyle w:val="SubtleEmphasis"/>
        <w:b w:val="0"/>
        <w:sz w:val="20"/>
      </w:rPr>
      <w:t>Author</w:t>
    </w:r>
    <w:r w:rsidR="009A3B7A" w:rsidRPr="001B7CD0">
      <w:rPr>
        <w:rStyle w:val="SubtleEmphasis"/>
        <w:b w:val="0"/>
        <w:sz w:val="20"/>
      </w:rPr>
      <w:t>1</w:t>
    </w:r>
    <w:r w:rsidR="009A3B7A" w:rsidRPr="00B95B45">
      <w:rPr>
        <w:rStyle w:val="SubtleEmphasis"/>
        <w:b w:val="0"/>
        <w:sz w:val="20"/>
      </w:rPr>
      <w:t xml:space="preserve">, </w:t>
    </w:r>
    <w:r w:rsidR="009A3B7A">
      <w:rPr>
        <w:rStyle w:val="SubtleEmphasis"/>
        <w:b w:val="0"/>
        <w:sz w:val="20"/>
      </w:rPr>
      <w:t>Author</w:t>
    </w:r>
    <w:r w:rsidR="009A3B7A" w:rsidRPr="001B7CD0">
      <w:rPr>
        <w:rStyle w:val="SubtleEmphasis"/>
        <w:b w:val="0"/>
        <w:sz w:val="20"/>
      </w:rPr>
      <w:t>2</w:t>
    </w:r>
  </w:p>
  <w:p w14:paraId="501587EF" w14:textId="54CCAA61" w:rsidR="00DF0BEE" w:rsidRPr="0033260F" w:rsidRDefault="00D031E8" w:rsidP="0033260F">
    <w:pPr>
      <w:pStyle w:val="Header"/>
      <w:pBdr>
        <w:bottom w:val="single" w:sz="6" w:space="1" w:color="auto"/>
      </w:pBdr>
      <w:jc w:val="center"/>
      <w:rPr>
        <w:rFonts w:eastAsia="Times New Roman"/>
        <w:color w:val="000000"/>
      </w:rPr>
    </w:pPr>
    <w:bookmarkStart w:id="0" w:name="_Hlk70543852"/>
    <w:r w:rsidRPr="00D031E8">
      <w:t>Journal of Artificial Intelligence and Digital Business (RIGGS)</w:t>
    </w:r>
    <w:r>
      <w:t xml:space="preserve"> </w:t>
    </w:r>
    <w:bookmarkEnd w:id="0"/>
    <w:r w:rsidRPr="00D031E8">
      <w:t xml:space="preserve">Volume X </w:t>
    </w:r>
    <w:proofErr w:type="spellStart"/>
    <w:r w:rsidRPr="00D031E8">
      <w:t>Nomor</w:t>
    </w:r>
    <w:proofErr w:type="spellEnd"/>
    <w:r w:rsidRPr="00D031E8">
      <w:t xml:space="preserve"> X, </w:t>
    </w:r>
    <w:proofErr w:type="spellStart"/>
    <w:r w:rsidRPr="00D031E8">
      <w:t>Juli</w:t>
    </w:r>
    <w:proofErr w:type="spellEnd"/>
    <w:r w:rsidRPr="00D031E8">
      <w:t xml:space="preserve"> 2022</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08785B"/>
    <w:multiLevelType w:val="hybridMultilevel"/>
    <w:tmpl w:val="095EDF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711438"/>
    <w:multiLevelType w:val="hybridMultilevel"/>
    <w:tmpl w:val="97A630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C2A569F"/>
    <w:multiLevelType w:val="hybridMultilevel"/>
    <w:tmpl w:val="B41C4C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1CA2C20"/>
    <w:multiLevelType w:val="hybridMultilevel"/>
    <w:tmpl w:val="016002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8DF53D9"/>
    <w:multiLevelType w:val="hybridMultilevel"/>
    <w:tmpl w:val="0160021A"/>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7"/>
  </w:num>
  <w:num w:numId="3">
    <w:abstractNumId w:val="0"/>
  </w:num>
  <w:num w:numId="4">
    <w:abstractNumId w:val="5"/>
  </w:num>
  <w:num w:numId="5">
    <w:abstractNumId w:val="1"/>
  </w:num>
  <w:num w:numId="6">
    <w:abstractNumId w:val="3"/>
  </w:num>
  <w:num w:numId="7">
    <w:abstractNumId w:val="4"/>
  </w:num>
  <w:num w:numId="8">
    <w:abstractNumId w:val="6"/>
  </w:num>
  <w:num w:numId="9">
    <w:abstractNumId w:val="9"/>
  </w:num>
  <w:num w:numId="10">
    <w:abstractNumId w:val="11"/>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7E2E"/>
    <w:rsid w:val="00011D9D"/>
    <w:rsid w:val="0001447E"/>
    <w:rsid w:val="000203EF"/>
    <w:rsid w:val="000279C2"/>
    <w:rsid w:val="000528B7"/>
    <w:rsid w:val="00054313"/>
    <w:rsid w:val="00060D54"/>
    <w:rsid w:val="00064AFE"/>
    <w:rsid w:val="00070790"/>
    <w:rsid w:val="00072D40"/>
    <w:rsid w:val="00081AEF"/>
    <w:rsid w:val="00082DF1"/>
    <w:rsid w:val="00084DD6"/>
    <w:rsid w:val="000856BE"/>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7382D"/>
    <w:rsid w:val="00190B77"/>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C1AA0"/>
    <w:rsid w:val="002D338D"/>
    <w:rsid w:val="002D57C4"/>
    <w:rsid w:val="002D60B6"/>
    <w:rsid w:val="002E5364"/>
    <w:rsid w:val="002F2A68"/>
    <w:rsid w:val="002F5468"/>
    <w:rsid w:val="002F6CF0"/>
    <w:rsid w:val="003068A7"/>
    <w:rsid w:val="0033205A"/>
    <w:rsid w:val="0033260F"/>
    <w:rsid w:val="003468AB"/>
    <w:rsid w:val="00355D7E"/>
    <w:rsid w:val="003577F2"/>
    <w:rsid w:val="00361AC6"/>
    <w:rsid w:val="00376703"/>
    <w:rsid w:val="00397ABF"/>
    <w:rsid w:val="003B17BE"/>
    <w:rsid w:val="003B496A"/>
    <w:rsid w:val="003B5E83"/>
    <w:rsid w:val="003C0EE1"/>
    <w:rsid w:val="003E55A5"/>
    <w:rsid w:val="003E6BC9"/>
    <w:rsid w:val="003F4478"/>
    <w:rsid w:val="003F51D8"/>
    <w:rsid w:val="004055A4"/>
    <w:rsid w:val="00413896"/>
    <w:rsid w:val="00433408"/>
    <w:rsid w:val="0043444F"/>
    <w:rsid w:val="00437181"/>
    <w:rsid w:val="004936A3"/>
    <w:rsid w:val="004A0DDF"/>
    <w:rsid w:val="004A6011"/>
    <w:rsid w:val="004A7B94"/>
    <w:rsid w:val="004B4C23"/>
    <w:rsid w:val="004B505B"/>
    <w:rsid w:val="004D1DA5"/>
    <w:rsid w:val="004E0DC5"/>
    <w:rsid w:val="004E6245"/>
    <w:rsid w:val="004F372D"/>
    <w:rsid w:val="004F6849"/>
    <w:rsid w:val="004F7CFF"/>
    <w:rsid w:val="005226D5"/>
    <w:rsid w:val="0052576B"/>
    <w:rsid w:val="0054643A"/>
    <w:rsid w:val="005563B3"/>
    <w:rsid w:val="00563608"/>
    <w:rsid w:val="0057105F"/>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5051F"/>
    <w:rsid w:val="006518BB"/>
    <w:rsid w:val="006520F2"/>
    <w:rsid w:val="00665ED4"/>
    <w:rsid w:val="00670B39"/>
    <w:rsid w:val="00671B10"/>
    <w:rsid w:val="00671DC2"/>
    <w:rsid w:val="00673739"/>
    <w:rsid w:val="00675479"/>
    <w:rsid w:val="00675D76"/>
    <w:rsid w:val="00683633"/>
    <w:rsid w:val="006904EA"/>
    <w:rsid w:val="00693C5F"/>
    <w:rsid w:val="00696A5F"/>
    <w:rsid w:val="00696ADB"/>
    <w:rsid w:val="006B3792"/>
    <w:rsid w:val="006C6EDD"/>
    <w:rsid w:val="006D1672"/>
    <w:rsid w:val="006D6350"/>
    <w:rsid w:val="006F3FF8"/>
    <w:rsid w:val="006F50DD"/>
    <w:rsid w:val="006F5BA8"/>
    <w:rsid w:val="00705293"/>
    <w:rsid w:val="00710597"/>
    <w:rsid w:val="00710C3A"/>
    <w:rsid w:val="00711FD4"/>
    <w:rsid w:val="00736D0D"/>
    <w:rsid w:val="00740D6F"/>
    <w:rsid w:val="007434EF"/>
    <w:rsid w:val="0074541A"/>
    <w:rsid w:val="007616B8"/>
    <w:rsid w:val="007617F1"/>
    <w:rsid w:val="00761E95"/>
    <w:rsid w:val="00762D50"/>
    <w:rsid w:val="00771CCE"/>
    <w:rsid w:val="00785D18"/>
    <w:rsid w:val="007860ED"/>
    <w:rsid w:val="007A3A9B"/>
    <w:rsid w:val="007B4400"/>
    <w:rsid w:val="007B67E8"/>
    <w:rsid w:val="007C6C36"/>
    <w:rsid w:val="007D14D6"/>
    <w:rsid w:val="007D5524"/>
    <w:rsid w:val="007E7A4A"/>
    <w:rsid w:val="008000D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38EA"/>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33B25"/>
    <w:rsid w:val="00B33E95"/>
    <w:rsid w:val="00B4120C"/>
    <w:rsid w:val="00B428C4"/>
    <w:rsid w:val="00B43AFF"/>
    <w:rsid w:val="00B54CD1"/>
    <w:rsid w:val="00B82A0F"/>
    <w:rsid w:val="00B83D7B"/>
    <w:rsid w:val="00B84C63"/>
    <w:rsid w:val="00B8786D"/>
    <w:rsid w:val="00B95B45"/>
    <w:rsid w:val="00BC70A9"/>
    <w:rsid w:val="00BD5748"/>
    <w:rsid w:val="00BD6072"/>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6B22"/>
    <w:rsid w:val="00F65811"/>
    <w:rsid w:val="00F750D2"/>
    <w:rsid w:val="00F93300"/>
    <w:rsid w:val="00FA05F7"/>
    <w:rsid w:val="00FA50AA"/>
    <w:rsid w:val="00FB136E"/>
    <w:rsid w:val="00FB6C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yperlink" Target="mailto:selvia.eka@uinsa.ac.id" TargetMode="External"/><Relationship Id="rId4" Type="http://schemas.openxmlformats.org/officeDocument/2006/relationships/webSettings" Target="webSettings.xml"/><Relationship Id="rId9" Type="http://schemas.openxmlformats.org/officeDocument/2006/relationships/hyperlink" Target="mailto:luthfiaaak16@gmail.com" TargetMode="Externa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utfia%20Khairani\Downloads\Data%20Historis%20BBC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tfia%20Khairani\Downloads\Perhitungan%20&amp;%20Pengujian%20Publikas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Charts!$A$3</c:f>
              <c:strCache>
                <c:ptCount val="1"/>
                <c:pt idx="0">
                  <c:v>AAR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Charts!$B$2:$L$2</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Charts!$B$3:$L$3</c:f>
              <c:numCache>
                <c:formatCode>General</c:formatCode>
                <c:ptCount val="11"/>
                <c:pt idx="0">
                  <c:v>2.453860960362966E-2</c:v>
                </c:pt>
                <c:pt idx="1">
                  <c:v>9.0100506212799532E-3</c:v>
                </c:pt>
                <c:pt idx="2">
                  <c:v>-6.0085828007506647E-3</c:v>
                </c:pt>
                <c:pt idx="3">
                  <c:v>3.4159227549237958E-3</c:v>
                </c:pt>
                <c:pt idx="4">
                  <c:v>4.4271231530545047E-3</c:v>
                </c:pt>
                <c:pt idx="5">
                  <c:v>4.8975094867230113E-3</c:v>
                </c:pt>
                <c:pt idx="6">
                  <c:v>-5.1867599724268005E-3</c:v>
                </c:pt>
                <c:pt idx="7">
                  <c:v>-4.4240839405581605E-3</c:v>
                </c:pt>
                <c:pt idx="8">
                  <c:v>-5.5425076794909803E-3</c:v>
                </c:pt>
                <c:pt idx="9">
                  <c:v>-4.963201666785288E-3</c:v>
                </c:pt>
                <c:pt idx="10">
                  <c:v>8.2764629868314812E-4</c:v>
                </c:pt>
              </c:numCache>
            </c:numRef>
          </c:val>
          <c:smooth val="0"/>
          <c:extLst>
            <c:ext xmlns:c16="http://schemas.microsoft.com/office/drawing/2014/chart" uri="{C3380CC4-5D6E-409C-BE32-E72D297353CC}">
              <c16:uniqueId val="{00000000-F47A-450A-A0FA-3CD0E89E0DF5}"/>
            </c:ext>
          </c:extLst>
        </c:ser>
        <c:dLbls>
          <c:showLegendKey val="0"/>
          <c:showVal val="0"/>
          <c:showCatName val="0"/>
          <c:showSerName val="0"/>
          <c:showPercent val="0"/>
          <c:showBubbleSize val="0"/>
        </c:dLbls>
        <c:marker val="1"/>
        <c:smooth val="0"/>
        <c:axId val="946912896"/>
        <c:axId val="946913376"/>
      </c:lineChart>
      <c:catAx>
        <c:axId val="94691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913376"/>
        <c:crosses val="autoZero"/>
        <c:auto val="1"/>
        <c:lblAlgn val="ctr"/>
        <c:lblOffset val="100"/>
        <c:noMultiLvlLbl val="0"/>
      </c:catAx>
      <c:valAx>
        <c:axId val="94691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6912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Charts!$A$36</c:f>
              <c:strCache>
                <c:ptCount val="1"/>
                <c:pt idx="0">
                  <c:v>ATVA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Charts!$B$35:$L$35</c:f>
              <c:strCache>
                <c:ptCount val="11"/>
                <c:pt idx="0">
                  <c:v>t-5</c:v>
                </c:pt>
                <c:pt idx="1">
                  <c:v>t-4</c:v>
                </c:pt>
                <c:pt idx="2">
                  <c:v>t-3</c:v>
                </c:pt>
                <c:pt idx="3">
                  <c:v>t-2</c:v>
                </c:pt>
                <c:pt idx="4">
                  <c:v>t-1</c:v>
                </c:pt>
                <c:pt idx="5">
                  <c:v>t-0</c:v>
                </c:pt>
                <c:pt idx="6">
                  <c:v>t+1</c:v>
                </c:pt>
                <c:pt idx="7">
                  <c:v>t+2</c:v>
                </c:pt>
                <c:pt idx="8">
                  <c:v>t+3</c:v>
                </c:pt>
                <c:pt idx="9">
                  <c:v>t+4</c:v>
                </c:pt>
                <c:pt idx="10">
                  <c:v>t+5</c:v>
                </c:pt>
              </c:strCache>
            </c:strRef>
          </c:cat>
          <c:val>
            <c:numRef>
              <c:f>Charts!$B$36:$L$36</c:f>
              <c:numCache>
                <c:formatCode>General</c:formatCode>
                <c:ptCount val="11"/>
                <c:pt idx="0">
                  <c:v>1599094.8055419691</c:v>
                </c:pt>
                <c:pt idx="1">
                  <c:v>1177889.1492862259</c:v>
                </c:pt>
                <c:pt idx="2">
                  <c:v>838329.5595423138</c:v>
                </c:pt>
                <c:pt idx="3">
                  <c:v>717477.46196491818</c:v>
                </c:pt>
                <c:pt idx="4">
                  <c:v>798476.58349243377</c:v>
                </c:pt>
                <c:pt idx="5">
                  <c:v>872040.6301558892</c:v>
                </c:pt>
                <c:pt idx="6">
                  <c:v>645324.1462272678</c:v>
                </c:pt>
                <c:pt idx="7">
                  <c:v>272537.58801682387</c:v>
                </c:pt>
                <c:pt idx="8">
                  <c:v>463952.57984761189</c:v>
                </c:pt>
                <c:pt idx="9">
                  <c:v>439175.4390092832</c:v>
                </c:pt>
                <c:pt idx="10">
                  <c:v>654041.55122055404</c:v>
                </c:pt>
              </c:numCache>
            </c:numRef>
          </c:val>
          <c:smooth val="0"/>
          <c:extLst>
            <c:ext xmlns:c16="http://schemas.microsoft.com/office/drawing/2014/chart" uri="{C3380CC4-5D6E-409C-BE32-E72D297353CC}">
              <c16:uniqueId val="{00000000-B161-4932-813E-1C1BE89459AF}"/>
            </c:ext>
          </c:extLst>
        </c:ser>
        <c:dLbls>
          <c:showLegendKey val="0"/>
          <c:showVal val="0"/>
          <c:showCatName val="0"/>
          <c:showSerName val="0"/>
          <c:showPercent val="0"/>
          <c:showBubbleSize val="0"/>
        </c:dLbls>
        <c:marker val="1"/>
        <c:smooth val="0"/>
        <c:axId val="909007024"/>
        <c:axId val="937550304"/>
      </c:lineChart>
      <c:catAx>
        <c:axId val="90900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7550304"/>
        <c:crosses val="autoZero"/>
        <c:auto val="1"/>
        <c:lblAlgn val="ctr"/>
        <c:lblOffset val="100"/>
        <c:noMultiLvlLbl val="0"/>
      </c:catAx>
      <c:valAx>
        <c:axId val="93755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007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28594</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4</cp:revision>
  <cp:lastPrinted>2018-06-26T09:35:00Z</cp:lastPrinted>
  <dcterms:created xsi:type="dcterms:W3CDTF">2025-10-19T14:39:00Z</dcterms:created>
  <dcterms:modified xsi:type="dcterms:W3CDTF">2025-10-25T07:27:00Z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GrammarlyDocumentId">
    <vt:lpwstr>ce77f82f-2a1c-42cc-b9f2-8a74c28ed399</vt:lpwstr>
  </property>
</Properties>
</file>