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3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560"/>
        <w:gridCol w:w="7975"/>
      </w:tblGrid>
      <w:tr w:rsidR="00F24B53" w:rsidRPr="00F24B53" w14:paraId="5A435CC4" w14:textId="77777777" w:rsidTr="00D26624">
        <w:trPr>
          <w:trHeight w:val="799"/>
        </w:trPr>
        <w:tc>
          <w:tcPr>
            <w:tcW w:w="1560" w:type="dxa"/>
          </w:tcPr>
          <w:p w14:paraId="78728226" w14:textId="77777777" w:rsidR="00F24B53" w:rsidRPr="00F24B53" w:rsidRDefault="00F24B53" w:rsidP="00F24B53">
            <w:pPr>
              <w:spacing w:after="240"/>
              <w:jc w:val="both"/>
              <w:rPr>
                <w:rFonts w:ascii="Times New Roman" w:hAnsi="Times New Roman"/>
                <w:szCs w:val="22"/>
              </w:rPr>
            </w:pPr>
            <w:r w:rsidRPr="00F24B53">
              <w:rPr>
                <w:rFonts w:ascii="Times New Roman" w:hAnsi="Times New Roman"/>
                <w:noProof/>
                <w:szCs w:val="22"/>
              </w:rPr>
              <w:drawing>
                <wp:inline distT="0" distB="0" distL="0" distR="0" wp14:anchorId="654AB7B3" wp14:editId="7E762876">
                  <wp:extent cx="872490" cy="933450"/>
                  <wp:effectExtent l="0" t="0" r="381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72490" cy="933450"/>
                          </a:xfrm>
                          <a:prstGeom prst="rect">
                            <a:avLst/>
                          </a:prstGeom>
                          <a:noFill/>
                          <a:ln>
                            <a:noFill/>
                          </a:ln>
                        </pic:spPr>
                      </pic:pic>
                    </a:graphicData>
                  </a:graphic>
                </wp:inline>
              </w:drawing>
            </w:r>
          </w:p>
        </w:tc>
        <w:tc>
          <w:tcPr>
            <w:tcW w:w="7975" w:type="dxa"/>
          </w:tcPr>
          <w:p w14:paraId="5BF7EAA9" w14:textId="77777777" w:rsidR="00F24B53" w:rsidRPr="00F24B53" w:rsidRDefault="00F24B53" w:rsidP="00F24B53">
            <w:pPr>
              <w:spacing w:after="20"/>
              <w:rPr>
                <w:rFonts w:ascii="Times New Roman" w:hAnsi="Times New Roman"/>
                <w:spacing w:val="20"/>
                <w:position w:val="6"/>
                <w:sz w:val="24"/>
                <w:szCs w:val="24"/>
              </w:rPr>
            </w:pPr>
            <w:r w:rsidRPr="00F24B53">
              <w:rPr>
                <w:rFonts w:ascii="Times New Roman" w:hAnsi="Times New Roman"/>
                <w:spacing w:val="20"/>
                <w:position w:val="6"/>
                <w:sz w:val="24"/>
                <w:szCs w:val="24"/>
              </w:rPr>
              <w:t>Department of Digital Business</w:t>
            </w:r>
          </w:p>
          <w:p w14:paraId="50F233BB" w14:textId="77777777" w:rsidR="00F24B53" w:rsidRPr="00F24B53" w:rsidRDefault="00F24B53" w:rsidP="00F24B53">
            <w:pPr>
              <w:spacing w:after="20"/>
              <w:rPr>
                <w:rFonts w:ascii="Times New Roman" w:hAnsi="Times New Roman"/>
                <w:b/>
                <w:bCs/>
                <w:spacing w:val="20"/>
                <w:position w:val="6"/>
                <w:sz w:val="24"/>
                <w:szCs w:val="24"/>
              </w:rPr>
            </w:pPr>
            <w:r w:rsidRPr="00F24B53">
              <w:rPr>
                <w:rFonts w:ascii="Times New Roman" w:hAnsi="Times New Roman"/>
                <w:b/>
                <w:bCs/>
                <w:spacing w:val="20"/>
                <w:position w:val="6"/>
                <w:sz w:val="24"/>
                <w:szCs w:val="24"/>
              </w:rPr>
              <w:t>Journal of Artificial Intelligence and Digital Business (RIGGS)</w:t>
            </w:r>
          </w:p>
          <w:p w14:paraId="76B75AB5" w14:textId="77777777" w:rsidR="00F24B53" w:rsidRPr="00F24B53" w:rsidRDefault="00F24B53" w:rsidP="00F24B53">
            <w:pPr>
              <w:spacing w:after="20"/>
              <w:rPr>
                <w:rFonts w:ascii="Times New Roman" w:hAnsi="Times New Roman"/>
                <w:spacing w:val="20"/>
                <w:position w:val="6"/>
                <w:sz w:val="24"/>
                <w:szCs w:val="24"/>
              </w:rPr>
            </w:pPr>
            <w:r w:rsidRPr="00F24B53">
              <w:rPr>
                <w:rFonts w:ascii="Times New Roman" w:hAnsi="Times New Roman"/>
                <w:spacing w:val="20"/>
                <w:position w:val="6"/>
                <w:sz w:val="24"/>
                <w:szCs w:val="24"/>
              </w:rPr>
              <w:t xml:space="preserve">Homepage: </w:t>
            </w:r>
            <w:hyperlink r:id="rId8" w:history="1">
              <w:r w:rsidRPr="00F24B53">
                <w:rPr>
                  <w:rFonts w:ascii="Times New Roman" w:hAnsi="Times New Roman"/>
                  <w:color w:val="0000FF"/>
                  <w:spacing w:val="20"/>
                  <w:position w:val="6"/>
                  <w:sz w:val="24"/>
                  <w:szCs w:val="24"/>
                  <w:u w:val="single"/>
                </w:rPr>
                <w:t>https://journal.ilmudata.co.id/index.php/RIGGS</w:t>
              </w:r>
            </w:hyperlink>
          </w:p>
          <w:p w14:paraId="731FC06C" w14:textId="1236858F" w:rsidR="00F24B53" w:rsidRPr="00F24B53" w:rsidRDefault="00F24B53" w:rsidP="00F24B53">
            <w:pPr>
              <w:spacing w:after="20"/>
              <w:rPr>
                <w:rFonts w:ascii="Times New Roman" w:hAnsi="Times New Roman"/>
                <w:spacing w:val="20"/>
                <w:position w:val="6"/>
                <w:sz w:val="24"/>
                <w:szCs w:val="24"/>
              </w:rPr>
            </w:pPr>
            <w:r w:rsidRPr="00F24B53">
              <w:rPr>
                <w:rFonts w:ascii="Times New Roman" w:hAnsi="Times New Roman"/>
                <w:spacing w:val="20"/>
                <w:position w:val="6"/>
                <w:sz w:val="24"/>
                <w:szCs w:val="24"/>
              </w:rPr>
              <w:t xml:space="preserve">Vol. 5 No. 2 (2026) pp: </w:t>
            </w:r>
            <w:r w:rsidR="00D5478C" w:rsidRPr="00D5478C">
              <w:rPr>
                <w:rFonts w:ascii="Times New Roman" w:hAnsi="Times New Roman"/>
                <w:spacing w:val="20"/>
                <w:position w:val="6"/>
                <w:sz w:val="24"/>
                <w:szCs w:val="24"/>
              </w:rPr>
              <w:t>21633</w:t>
            </w:r>
            <w:r w:rsidRPr="00F24B53">
              <w:rPr>
                <w:rFonts w:ascii="Times New Roman" w:hAnsi="Times New Roman"/>
                <w:spacing w:val="20"/>
                <w:position w:val="6"/>
                <w:sz w:val="24"/>
                <w:szCs w:val="24"/>
              </w:rPr>
              <w:t>-216</w:t>
            </w:r>
            <w:r w:rsidR="00D5478C">
              <w:rPr>
                <w:rFonts w:ascii="Times New Roman" w:hAnsi="Times New Roman"/>
                <w:spacing w:val="20"/>
                <w:position w:val="6"/>
                <w:sz w:val="24"/>
                <w:szCs w:val="24"/>
              </w:rPr>
              <w:t>41</w:t>
            </w:r>
          </w:p>
          <w:p w14:paraId="2425D404" w14:textId="77777777" w:rsidR="00F24B53" w:rsidRPr="00F24B53" w:rsidRDefault="00F24B53" w:rsidP="00F24B53">
            <w:pPr>
              <w:spacing w:after="20"/>
              <w:rPr>
                <w:rFonts w:ascii="Times New Roman" w:hAnsi="Times New Roman"/>
                <w:spacing w:val="20"/>
                <w:position w:val="6"/>
                <w:sz w:val="24"/>
                <w:szCs w:val="24"/>
              </w:rPr>
            </w:pPr>
            <w:r w:rsidRPr="00F24B53">
              <w:rPr>
                <w:rFonts w:ascii="Times New Roman" w:hAnsi="Times New Roman"/>
                <w:spacing w:val="20"/>
                <w:position w:val="6"/>
                <w:sz w:val="24"/>
                <w:szCs w:val="24"/>
              </w:rPr>
              <w:t>P-ISSN: 2963-9298, e-ISSN: 2963-914X</w:t>
            </w:r>
          </w:p>
        </w:tc>
      </w:tr>
    </w:tbl>
    <w:p w14:paraId="6385717A" w14:textId="7CE7CCDE" w:rsidR="002A2923" w:rsidRPr="00F24B53" w:rsidRDefault="00831910" w:rsidP="00F24B53">
      <w:pPr>
        <w:pStyle w:val="Subtitle"/>
        <w:spacing w:before="240"/>
        <w:rPr>
          <w:b w:val="0"/>
          <w:bCs/>
        </w:rPr>
      </w:pPr>
      <w:r w:rsidRPr="00F24B53">
        <w:rPr>
          <w:b w:val="0"/>
          <w:bCs/>
        </w:rPr>
        <w:t xml:space="preserve">Strategi </w:t>
      </w:r>
      <w:r w:rsidR="00F24B53" w:rsidRPr="00F24B53">
        <w:rPr>
          <w:b w:val="0"/>
          <w:bCs/>
        </w:rPr>
        <w:t xml:space="preserve">Fundraising </w:t>
      </w:r>
      <w:r w:rsidRPr="00F24B53">
        <w:rPr>
          <w:b w:val="0"/>
          <w:bCs/>
        </w:rPr>
        <w:t xml:space="preserve">dan </w:t>
      </w:r>
      <w:proofErr w:type="spellStart"/>
      <w:r w:rsidR="00F24B53" w:rsidRPr="00F24B53">
        <w:rPr>
          <w:b w:val="0"/>
          <w:bCs/>
        </w:rPr>
        <w:t>Pengembangan</w:t>
      </w:r>
      <w:proofErr w:type="spellEnd"/>
      <w:r w:rsidR="00F24B53" w:rsidRPr="00F24B53">
        <w:rPr>
          <w:b w:val="0"/>
          <w:bCs/>
        </w:rPr>
        <w:t xml:space="preserve"> </w:t>
      </w:r>
      <w:proofErr w:type="spellStart"/>
      <w:r w:rsidR="00F24B53" w:rsidRPr="00F24B53">
        <w:rPr>
          <w:b w:val="0"/>
          <w:bCs/>
        </w:rPr>
        <w:t>Bidang</w:t>
      </w:r>
      <w:proofErr w:type="spellEnd"/>
      <w:r w:rsidR="00F24B53" w:rsidRPr="00F24B53">
        <w:rPr>
          <w:b w:val="0"/>
          <w:bCs/>
        </w:rPr>
        <w:t xml:space="preserve"> Usaha </w:t>
      </w:r>
      <w:proofErr w:type="spellStart"/>
      <w:r w:rsidRPr="00F24B53">
        <w:rPr>
          <w:b w:val="0"/>
          <w:bCs/>
        </w:rPr>
        <w:t>dalam</w:t>
      </w:r>
      <w:proofErr w:type="spellEnd"/>
      <w:r w:rsidRPr="00F24B53">
        <w:rPr>
          <w:b w:val="0"/>
          <w:bCs/>
        </w:rPr>
        <w:t xml:space="preserve"> </w:t>
      </w:r>
      <w:proofErr w:type="spellStart"/>
      <w:r w:rsidR="00F24B53" w:rsidRPr="00F24B53">
        <w:rPr>
          <w:b w:val="0"/>
          <w:bCs/>
        </w:rPr>
        <w:t>Mewujudkan</w:t>
      </w:r>
      <w:proofErr w:type="spellEnd"/>
      <w:r w:rsidR="00F24B53" w:rsidRPr="00F24B53">
        <w:rPr>
          <w:b w:val="0"/>
          <w:bCs/>
        </w:rPr>
        <w:t xml:space="preserve"> </w:t>
      </w:r>
      <w:proofErr w:type="spellStart"/>
      <w:r w:rsidR="00F24B53" w:rsidRPr="00F24B53">
        <w:rPr>
          <w:b w:val="0"/>
          <w:bCs/>
        </w:rPr>
        <w:t>Kemandirian</w:t>
      </w:r>
      <w:proofErr w:type="spellEnd"/>
      <w:r w:rsidR="00F24B53" w:rsidRPr="00F24B53">
        <w:rPr>
          <w:b w:val="0"/>
          <w:bCs/>
        </w:rPr>
        <w:t xml:space="preserve"> Lembaga Pendidikan </w:t>
      </w:r>
      <w:r w:rsidRPr="00F24B53">
        <w:rPr>
          <w:b w:val="0"/>
          <w:bCs/>
        </w:rPr>
        <w:t>Islam</w:t>
      </w:r>
    </w:p>
    <w:p w14:paraId="115F4CC2" w14:textId="4F187D38" w:rsidR="002A2923" w:rsidRDefault="00C0399E" w:rsidP="00F24B53">
      <w:pPr>
        <w:jc w:val="center"/>
      </w:pPr>
      <w:r>
        <w:t>Revo Fariz Al Kabir, Hani Alfalah, Ahmad Bayhaqi, Amelia, Ade Sofyan Mulazid</w:t>
      </w:r>
    </w:p>
    <w:p w14:paraId="1010767C" w14:textId="2D8064A8" w:rsidR="002A2923" w:rsidRDefault="00831910" w:rsidP="00F24B53">
      <w:pPr>
        <w:jc w:val="center"/>
      </w:pPr>
      <w:r>
        <w:rPr>
          <w:sz w:val="18"/>
          <w:szCs w:val="18"/>
        </w:rPr>
        <w:t>Program Pascasarjana Magister Manajemen Pendidikan Islam, Universitas Darunnajah, Jakarta, Indonesia</w:t>
      </w:r>
    </w:p>
    <w:p w14:paraId="6B6BEF7E" w14:textId="38DFF4D6" w:rsidR="002A2923" w:rsidRPr="00F24B53" w:rsidRDefault="00F24B53" w:rsidP="00F24B53">
      <w:pPr>
        <w:spacing w:after="240"/>
        <w:jc w:val="center"/>
        <w:rPr>
          <w:rStyle w:val="Hyperlink"/>
          <w:rFonts w:eastAsia="Calibri"/>
          <w:color w:val="0000FF"/>
          <w:sz w:val="18"/>
          <w:szCs w:val="18"/>
          <w:lang w:val="en-US" w:eastAsia="en-US"/>
        </w:rPr>
      </w:pPr>
      <w:hyperlink r:id="rId9" w:history="1">
        <w:r w:rsidRPr="00F24B53">
          <w:rPr>
            <w:rStyle w:val="Hyperlink"/>
            <w:rFonts w:eastAsia="Calibri"/>
            <w:color w:val="0000FF"/>
            <w:sz w:val="18"/>
            <w:szCs w:val="18"/>
            <w:lang w:val="en-US" w:eastAsia="en-US"/>
          </w:rPr>
          <w:t>revofarizkabir@darunnajah.ac.id</w:t>
        </w:r>
      </w:hyperlink>
      <w:r w:rsidRPr="00F24B53">
        <w:rPr>
          <w:rStyle w:val="Hyperlink"/>
          <w:rFonts w:eastAsia="Calibri"/>
          <w:color w:val="0000FF"/>
          <w:sz w:val="18"/>
          <w:szCs w:val="18"/>
          <w:lang w:val="en-US" w:eastAsia="en-US"/>
        </w:rPr>
        <w:t xml:space="preserve">, </w:t>
      </w:r>
      <w:hyperlink r:id="rId10" w:history="1">
        <w:r w:rsidRPr="00F24B53">
          <w:rPr>
            <w:rStyle w:val="Hyperlink"/>
            <w:rFonts w:eastAsia="Calibri"/>
            <w:color w:val="0000FF"/>
            <w:sz w:val="18"/>
            <w:szCs w:val="18"/>
            <w:lang w:val="en-US" w:eastAsia="en-US"/>
          </w:rPr>
          <w:t>hanialfalah@darunnajah.ac.id,</w:t>
        </w:r>
      </w:hyperlink>
      <w:r w:rsidRPr="00F24B53">
        <w:rPr>
          <w:rStyle w:val="Hyperlink"/>
          <w:rFonts w:eastAsia="Calibri"/>
          <w:color w:val="0000FF"/>
          <w:sz w:val="18"/>
          <w:szCs w:val="18"/>
          <w:lang w:val="en-US" w:eastAsia="en-US"/>
        </w:rPr>
        <w:t xml:space="preserve"> </w:t>
      </w:r>
      <w:hyperlink r:id="rId11" w:history="1">
        <w:r w:rsidRPr="00F24B53">
          <w:rPr>
            <w:rStyle w:val="Hyperlink"/>
            <w:rFonts w:eastAsia="Calibri"/>
            <w:color w:val="0000FF"/>
            <w:sz w:val="18"/>
            <w:szCs w:val="18"/>
            <w:lang w:val="en-US" w:eastAsia="en-US"/>
          </w:rPr>
          <w:t>ahmad.bayhaqi@mpi.darunnajah.ac.id</w:t>
        </w:r>
      </w:hyperlink>
      <w:r w:rsidRPr="00F24B53">
        <w:rPr>
          <w:rStyle w:val="Hyperlink"/>
          <w:rFonts w:eastAsia="Calibri"/>
          <w:color w:val="0000FF"/>
          <w:sz w:val="18"/>
          <w:szCs w:val="18"/>
          <w:lang w:val="en-US" w:eastAsia="en-US"/>
        </w:rPr>
        <w:t>,</w:t>
      </w:r>
      <w:r>
        <w:rPr>
          <w:rStyle w:val="Hyperlink"/>
          <w:rFonts w:eastAsia="Calibri"/>
          <w:color w:val="0000FF"/>
          <w:sz w:val="18"/>
          <w:szCs w:val="18"/>
          <w:lang w:val="en-US" w:eastAsia="en-US"/>
        </w:rPr>
        <w:t xml:space="preserve"> </w:t>
      </w:r>
      <w:hyperlink r:id="rId12" w:history="1">
        <w:r w:rsidRPr="000F5E5B">
          <w:rPr>
            <w:rStyle w:val="Hyperlink"/>
            <w:rFonts w:eastAsia="Calibri"/>
            <w:sz w:val="18"/>
            <w:szCs w:val="18"/>
            <w:lang w:val="en-US" w:eastAsia="en-US"/>
          </w:rPr>
          <w:t>amelia@darunnajah.ac.id</w:t>
        </w:r>
      </w:hyperlink>
      <w:r w:rsidRPr="00F24B53">
        <w:rPr>
          <w:rStyle w:val="Hyperlink"/>
          <w:rFonts w:eastAsia="Calibri"/>
          <w:color w:val="0000FF"/>
          <w:sz w:val="18"/>
          <w:szCs w:val="18"/>
          <w:lang w:val="en-US" w:eastAsia="en-US"/>
        </w:rPr>
        <w:t xml:space="preserve">, </w:t>
      </w:r>
      <w:hyperlink r:id="rId13" w:history="1">
        <w:r w:rsidRPr="00F24B53">
          <w:rPr>
            <w:rStyle w:val="Hyperlink"/>
            <w:rFonts w:eastAsia="Calibri"/>
            <w:color w:val="0000FF"/>
            <w:sz w:val="18"/>
            <w:szCs w:val="18"/>
            <w:lang w:val="en-US" w:eastAsia="en-US"/>
          </w:rPr>
          <w:t>adesofyanmulazid@uinjkt.ac.id</w:t>
        </w:r>
      </w:hyperlink>
    </w:p>
    <w:p w14:paraId="26CF9CED" w14:textId="77777777" w:rsidR="002A2923" w:rsidRDefault="00831910" w:rsidP="00F24B53">
      <w:pPr>
        <w:spacing w:before="240" w:after="40"/>
      </w:pPr>
      <w:r>
        <w:rPr>
          <w:b/>
          <w:bCs/>
        </w:rPr>
        <w:t>Abstrak</w:t>
      </w:r>
    </w:p>
    <w:p w14:paraId="05C3F629" w14:textId="77777777" w:rsidR="002A2923" w:rsidRDefault="00831910" w:rsidP="00F24B53">
      <w:pPr>
        <w:spacing w:before="240" w:after="80"/>
        <w:jc w:val="both"/>
      </w:pPr>
      <w:r>
        <w:rPr>
          <w:i/>
          <w:iCs/>
          <w:sz w:val="18"/>
          <w:szCs w:val="18"/>
        </w:rPr>
        <w:t>Keterbatasan pendanaan masih menjadi persoalan utama bagi lembaga pendidikan Islam, khususnya pesantren dan madrasah swasta yang bergantung pada iuran peserta didik serta donasi insidental. Penelitian ini bertujuan menganalisis strategi fundraising, model pengembangan bidang usaha, dan integrasi keduanya dalam mewujudkan kemandirian finansial lembaga pendidikan Islam. Penelitian menggunakan pendekatan kualitatif dengan metode studi kepustakaan terhadap artikel ilmiah, buku, dan regulasi yang relevan, terutama terbitan 2020–2025. Data dianalisis melalui reduksi, kategorisasi tema, perbandingan antarsumber, dan penarikan sintesis konseptual. Hasil kajian menunjukkan bahwa fundraising menjadi efektif apabila dilaksanakan secara profesional melalui diversifikasi sumber dana, pemanfaatan zakat, infak, sedekah, wakaf produktif, hibah, kemitraan alumni, tanggung jawab sosial perusahaan, serta kanal digital. Keberlanjutan penghimpunan sangat dipengaruhi oleh transparansi, akuntabilitas, basis data donatur, komunikasi program, dan evaluasi berkala. Pengembangan bidang usaha melalui koperasi pesantren, perdagangan, jasa, agribisnis, dan kewirausahaan santri dapat menghasilkan pendapatan berkelanjutan sekaligus menjadi sarana pembelajaran praktis. Integrasi dana sosial-keagamaan sebagai modal aset produktif dengan surplus usaha untuk membiayai pendidikan membentuk siklus pembiayaan yang lebih mandiri. Model tersebut memerlukan pemisahan pengelolaan keuangan, kepemimpinan visioner, sumber daya manusia kompeten, pengendalian risiko, dan tata kelola yang baik. Penelitian merekomendasikan pembentukan unit fundraising profesional dan badan usaha milik pesantren yang terkoordinasi dalam peta jalan kemandirian lembaga secara berkelanjutan.</w:t>
      </w:r>
    </w:p>
    <w:p w14:paraId="49C73000" w14:textId="0EE97D47" w:rsidR="002A2923" w:rsidRPr="00F24B53" w:rsidRDefault="00831910" w:rsidP="00F24B53">
      <w:pPr>
        <w:spacing w:before="240" w:after="120"/>
        <w:jc w:val="both"/>
      </w:pPr>
      <w:r w:rsidRPr="00F24B53">
        <w:rPr>
          <w:i/>
          <w:iCs/>
          <w:sz w:val="18"/>
          <w:szCs w:val="18"/>
        </w:rPr>
        <w:t xml:space="preserve">Kata kunci: </w:t>
      </w:r>
      <w:r w:rsidR="00F24B53" w:rsidRPr="00F24B53">
        <w:rPr>
          <w:i/>
          <w:iCs/>
          <w:sz w:val="18"/>
          <w:szCs w:val="18"/>
        </w:rPr>
        <w:t xml:space="preserve">Fundraising; Kemandirian Ekonomi; Lembaga Pendidikan </w:t>
      </w:r>
      <w:r w:rsidRPr="00F24B53">
        <w:rPr>
          <w:i/>
          <w:iCs/>
          <w:sz w:val="18"/>
          <w:szCs w:val="18"/>
        </w:rPr>
        <w:t>Islam</w:t>
      </w:r>
      <w:r w:rsidR="00F24B53" w:rsidRPr="00F24B53">
        <w:rPr>
          <w:i/>
          <w:iCs/>
          <w:sz w:val="18"/>
          <w:szCs w:val="18"/>
        </w:rPr>
        <w:t>; Pesantren; Unit Usaha</w:t>
      </w:r>
    </w:p>
    <w:p w14:paraId="32D068E5" w14:textId="4226739A" w:rsidR="002A2923" w:rsidRDefault="00831910" w:rsidP="00F24B53">
      <w:pPr>
        <w:keepNext/>
        <w:spacing w:before="200" w:after="120"/>
      </w:pPr>
      <w:r>
        <w:rPr>
          <w:b/>
          <w:bCs/>
        </w:rPr>
        <w:t xml:space="preserve">1. </w:t>
      </w:r>
      <w:r w:rsidR="00F24B53">
        <w:rPr>
          <w:b/>
          <w:bCs/>
        </w:rPr>
        <w:t>Pendahuluan</w:t>
      </w:r>
    </w:p>
    <w:p w14:paraId="0054D7E9" w14:textId="77777777" w:rsidR="002A2923" w:rsidRDefault="00831910" w:rsidP="00F24B53">
      <w:pPr>
        <w:spacing w:after="120"/>
        <w:jc w:val="both"/>
      </w:pPr>
      <w:r>
        <w:t>Pendanaan merupakan salah satu komponen vital dalam penyelenggaraan pendidikan. Tanpa dukungan finansial yang memadai, mutu sarana prasarana, kesejahteraan pendidik, dan kualitas layanan pembelajaran akan sulit ditingkatkan. Persoalan ini terasa lebih akut pada lembaga pendidikan Islam swasta seperti pesantren dan madrasah, yang secara historis tumbuh dari inisiatif masyarakat dan tidak sepenuhnya bergantung pada anggaran pemerintah [1]. Mayoritas lembaga pendidikan Islam masih mengandalkan sumber dana tradisional berupa iuran bulanan (</w:t>
      </w:r>
      <w:r>
        <w:rPr>
          <w:i/>
          <w:iCs/>
        </w:rPr>
        <w:t>syahriah</w:t>
      </w:r>
      <w:r>
        <w:t>) santri, sumbangan wali, serta donasi insidental dari masyarakat, sehingga kapasitas fiskalnya rentan dan fluktuatif.</w:t>
      </w:r>
    </w:p>
    <w:p w14:paraId="51EBBA65" w14:textId="77777777" w:rsidR="002A2923" w:rsidRDefault="00831910" w:rsidP="00F24B53">
      <w:pPr>
        <w:spacing w:after="120"/>
        <w:jc w:val="both"/>
      </w:pPr>
      <w:r>
        <w:t>Pemerintah sesungguhnya telah memberikan payung hukum afirmatif melalui Undang-Undang Nomor 18 Tahun 2019 tentang Pesantren [2] yang ditindaklanjuti dengan Peraturan Presiden Nomor 82 Tahun 2021 tentang Pendanaan Penyelenggaraan Pesantren [3]. Regulasi ini membuka ruang dukungan pendanaan dari APBN, APBD, dan dana abadi pesantren. Namun demikian, dukungan negara bersifat stimulan dan tidak dimaksudkan menggantikan kemandirian lembaga. Justru regulasi tersebut mendorong pesantren mengembangkan fungsi pemberdayaan masyarakat, termasuk penguatan ekonomi internal lembaga.</w:t>
      </w:r>
    </w:p>
    <w:p w14:paraId="5B5A89BC" w14:textId="77777777" w:rsidR="002A2923" w:rsidRDefault="00831910" w:rsidP="00F24B53">
      <w:pPr>
        <w:spacing w:after="120"/>
        <w:jc w:val="both"/>
      </w:pPr>
      <w:r>
        <w:t xml:space="preserve">Dalam konteks itulah dua agenda strategis menjadi relevan: </w:t>
      </w:r>
      <w:r>
        <w:rPr>
          <w:i/>
          <w:iCs/>
        </w:rPr>
        <w:t>fundraising</w:t>
      </w:r>
      <w:r>
        <w:t xml:space="preserve"> dan pengembangan bidang usaha. </w:t>
      </w:r>
      <w:r>
        <w:rPr>
          <w:i/>
          <w:iCs/>
        </w:rPr>
        <w:t>Fundraising</w:t>
      </w:r>
      <w:r>
        <w:t xml:space="preserve"> dipahami sebagai aktivitas terencana untuk menghimpun dana dan sumber daya lain dari individu, kelompok, badan usaha, maupun pemerintah guna membiayai program lembaga. Riset terbaru menunjukkan bahwa </w:t>
      </w:r>
      <w:r>
        <w:rPr>
          <w:i/>
          <w:iCs/>
        </w:rPr>
        <w:t>fundraising</w:t>
      </w:r>
      <w:r>
        <w:t xml:space="preserve"> berbasis nilai keislaman mampu meningkatkan partisipasi donatur dalam pengembangan lembaga pendidikan Islam apabila dikelola dengan strategi yang tepat dan akuntabel [4]. Sementara itu, pengembangan bidang usaha—lazim disebut unit usaha pesantren—telah terbukti pada banyak kasus menjadi tulang punggung kemandirian ekonomi lembaga, sebagaimana ditunjukkan oleh Pondok Modern Darussalam Gontor yang mengelola puluhan unit usaha dengan konsep kewirausahaan sosial Islam [5].</w:t>
      </w:r>
    </w:p>
    <w:p w14:paraId="3B62DFBE" w14:textId="77777777" w:rsidR="002A2923" w:rsidRDefault="00831910" w:rsidP="00F24B53">
      <w:pPr>
        <w:spacing w:after="120"/>
        <w:jc w:val="both"/>
      </w:pPr>
      <w:r>
        <w:lastRenderedPageBreak/>
        <w:t xml:space="preserve">Kajian-kajian terdahulu umumnya membahas </w:t>
      </w:r>
      <w:r>
        <w:rPr>
          <w:i/>
          <w:iCs/>
        </w:rPr>
        <w:t>fundraising</w:t>
      </w:r>
      <w:r>
        <w:t xml:space="preserve"> dan unit usaha secara terpisah. Studi tentang </w:t>
      </w:r>
      <w:r>
        <w:rPr>
          <w:i/>
          <w:iCs/>
        </w:rPr>
        <w:t>fundraising</w:t>
      </w:r>
      <w:r>
        <w:t xml:space="preserve"> menyoroti motivasi donatur, strategi penghimpunan zakat-infak-sedekah-wakaf (ZISWAF), dan digitalisasi donasi [4], [6]. Adapun studi tentang ekonomi pesantren menyoroti tata kelola unit usaha, kepemimpinan kiai, dan kontribusi unit usaha terhadap pendapatan lembaga [7], [8], [9]. Masih terbatas kajian yang mengintegrasikan keduanya dalam satu kerangka manajemen pembiayaan pendidikan Islam yang utuh. Padahal, dalam praktiknya kedua sumber tersebut saling melengkapi: </w:t>
      </w:r>
      <w:r>
        <w:rPr>
          <w:i/>
          <w:iCs/>
        </w:rPr>
        <w:t>fundraising</w:t>
      </w:r>
      <w:r>
        <w:t xml:space="preserve"> sosial-keagamaan menyediakan modal awal dan dukungan komunitas, sedangkan unit usaha menyediakan arus kas berkelanjutan.</w:t>
      </w:r>
    </w:p>
    <w:p w14:paraId="5B2E4BD2" w14:textId="77777777" w:rsidR="002A2923" w:rsidRDefault="00831910" w:rsidP="00F24B53">
      <w:pPr>
        <w:spacing w:after="120"/>
        <w:jc w:val="both"/>
      </w:pPr>
      <w:r>
        <w:t xml:space="preserve">Berdasarkan latar belakang tersebut, penelitian ini bertujuan untuk: (1) menganalisis konsep dan strategi </w:t>
      </w:r>
      <w:r>
        <w:rPr>
          <w:i/>
          <w:iCs/>
        </w:rPr>
        <w:t>fundraising</w:t>
      </w:r>
      <w:r>
        <w:t xml:space="preserve"> pada lembaga pendidikan Islam; (2) menganalisis model pengembangan bidang usaha lembaga pendidikan Islam; dan (3) merumuskan model integrasi </w:t>
      </w:r>
      <w:r>
        <w:rPr>
          <w:i/>
          <w:iCs/>
        </w:rPr>
        <w:t>fundraising</w:t>
      </w:r>
      <w:r>
        <w:t xml:space="preserve"> dan pengembangan usaha dalam mewujudkan kemandirian finansial lembaga pendidikan Islam. Kebaruan (</w:t>
      </w:r>
      <w:r>
        <w:rPr>
          <w:i/>
          <w:iCs/>
        </w:rPr>
        <w:t>novelty</w:t>
      </w:r>
      <w:r>
        <w:t>) penelitian ini terletak pada upaya sintesis kedua pilar pembiayaan tersebut ke dalam satu kerangka manajerial yang dapat diadopsi oleh pengelola pesantren dan madrasah.</w:t>
      </w:r>
    </w:p>
    <w:p w14:paraId="1A1FA24A" w14:textId="6C8E93EA" w:rsidR="002A2923" w:rsidRDefault="00F24B53" w:rsidP="00F24B53">
      <w:pPr>
        <w:keepNext/>
        <w:spacing w:before="200" w:after="120"/>
      </w:pPr>
      <w:r>
        <w:rPr>
          <w:b/>
          <w:bCs/>
        </w:rPr>
        <w:t>2. Metode Penelitian</w:t>
      </w:r>
    </w:p>
    <w:p w14:paraId="4AA1B30B" w14:textId="77777777" w:rsidR="002A2923" w:rsidRDefault="00831910" w:rsidP="00F24B53">
      <w:pPr>
        <w:spacing w:after="120"/>
        <w:jc w:val="both"/>
      </w:pPr>
      <w:r>
        <w:t>Penelitian ini menggunakan pendekatan kualitatif dengan metode studi kepustakaan (</w:t>
      </w:r>
      <w:r>
        <w:rPr>
          <w:i/>
          <w:iCs/>
        </w:rPr>
        <w:t>library research</w:t>
      </w:r>
      <w:r>
        <w:t xml:space="preserve">). Studi kepustakaan dipilih karena tujuan penelitian adalah membangun sintesis konseptual atas strategi </w:t>
      </w:r>
      <w:r>
        <w:rPr>
          <w:i/>
          <w:iCs/>
        </w:rPr>
        <w:t>fundraising</w:t>
      </w:r>
      <w:r>
        <w:t xml:space="preserve"> dan pengembangan usaha lembaga pendidikan Islam dari berbagai temuan empiris yang telah dipublikasikan. Sumber data primer berupa artikel jurnal ilmiah nasional dan internasional terbitan lima tahun terakhir (2020–2025) yang relevan dengan tema </w:t>
      </w:r>
      <w:r>
        <w:rPr>
          <w:i/>
          <w:iCs/>
        </w:rPr>
        <w:t>fundraising</w:t>
      </w:r>
      <w:r>
        <w:t>, pembiayaan pendidikan Islam, kemandirian ekonomi pesantren, dan manajemen unit usaha pesantren, ditambah buku referensi dan regulasi terkait.</w:t>
      </w:r>
    </w:p>
    <w:p w14:paraId="385E95BF" w14:textId="77777777" w:rsidR="002A2923" w:rsidRDefault="00831910" w:rsidP="00F24B53">
      <w:pPr>
        <w:spacing w:after="120"/>
        <w:jc w:val="both"/>
      </w:pPr>
      <w:r>
        <w:t xml:space="preserve">Penelusuran literatur dilakukan melalui basis data jurnal terindeks (SINTA, Garuda, DOAJ, dan Crossref) dengan kata kunci: </w:t>
      </w:r>
      <w:r>
        <w:rPr>
          <w:i/>
          <w:iCs/>
        </w:rPr>
        <w:t>fundraising</w:t>
      </w:r>
      <w:r>
        <w:t xml:space="preserve"> pendidikan Islam, kemandirian ekonomi pesantren, unit usaha pesantren, dan pembiayaan pendidikan Islam. Artikel diseleksi berdasarkan kriteria: (1) terbit pada rentang 2020–2025; (2) relevan dengan fokus kajian; dan (3) dipublikasikan pada jurnal ilmiah yang kredibel. Analisis data dilakukan dengan teknik analisis isi (</w:t>
      </w:r>
      <w:r>
        <w:rPr>
          <w:i/>
          <w:iCs/>
        </w:rPr>
        <w:t>content analysis</w:t>
      </w:r>
      <w:r>
        <w:t>) melalui tahapan reduksi data, penyajian data, kategorisasi tema, dan penarikan kesimpulan. Keabsahan temuan dijaga melalui triangulasi sumber, yaitu membandingkan temuan antarliteratur untuk menemukan pola yang konsisten.</w:t>
      </w:r>
    </w:p>
    <w:p w14:paraId="1FA397AE" w14:textId="1AB9EA6B" w:rsidR="002A2923" w:rsidRDefault="00F24B53" w:rsidP="00F24B53">
      <w:pPr>
        <w:keepNext/>
        <w:spacing w:before="200" w:after="120"/>
      </w:pPr>
      <w:r>
        <w:rPr>
          <w:b/>
          <w:bCs/>
        </w:rPr>
        <w:t>3. Hasil dan Pembahasan</w:t>
      </w:r>
    </w:p>
    <w:p w14:paraId="61FEB923" w14:textId="77777777" w:rsidR="002A2923" w:rsidRPr="00F24B53" w:rsidRDefault="00831910" w:rsidP="00F24B53">
      <w:pPr>
        <w:keepNext/>
        <w:spacing w:before="140" w:after="100"/>
        <w:rPr>
          <w:b/>
          <w:bCs/>
        </w:rPr>
      </w:pPr>
      <w:r w:rsidRPr="00F24B53">
        <w:rPr>
          <w:b/>
          <w:bCs/>
        </w:rPr>
        <w:t>3.1 Konsep Fundraising dalam Manajemen Pembiayaan Pendidikan Islam</w:t>
      </w:r>
    </w:p>
    <w:p w14:paraId="04116622" w14:textId="77777777" w:rsidR="002A2923" w:rsidRDefault="00831910" w:rsidP="00F24B53">
      <w:pPr>
        <w:spacing w:after="120"/>
        <w:jc w:val="both"/>
      </w:pPr>
      <w:r>
        <w:rPr>
          <w:i/>
          <w:iCs/>
        </w:rPr>
        <w:t>Fundraising</w:t>
      </w:r>
      <w:r>
        <w:t xml:space="preserve"> secara terminologis berarti aktivitas penghimpunan dana dan sumber daya lainnya dari masyarakat yang dilakukan secara terencana, sistematis, dan berkelanjutan untuk membiayai program dan kegiatan operasional lembaga. Dalam manajemen pembiayaan pendidikan Islam, </w:t>
      </w:r>
      <w:r>
        <w:rPr>
          <w:i/>
          <w:iCs/>
        </w:rPr>
        <w:t>fundraising</w:t>
      </w:r>
      <w:r>
        <w:t xml:space="preserve"> tidak semata dimaknai sebagai mencari uang, melainkan sebagai proses membangun relasi, kepercayaan, dan keterlibatan para pemangku kepentingan terhadap visi lembaga [1]. Oleh karena itu, keberhasilan </w:t>
      </w:r>
      <w:r>
        <w:rPr>
          <w:i/>
          <w:iCs/>
        </w:rPr>
        <w:t>fundraising</w:t>
      </w:r>
      <w:r>
        <w:t xml:space="preserve"> sangat ditentukan oleh kredibilitas lembaga, kejelasan program, dan kualitas komunikasi dengan donatur.</w:t>
      </w:r>
    </w:p>
    <w:p w14:paraId="2A87E7D7" w14:textId="77777777" w:rsidR="002A2923" w:rsidRDefault="00831910" w:rsidP="00F24B53">
      <w:pPr>
        <w:spacing w:after="120"/>
        <w:jc w:val="both"/>
      </w:pPr>
      <w:r>
        <w:t xml:space="preserve">Lembaga pendidikan Islam memiliki keunggulan komparatif dalam </w:t>
      </w:r>
      <w:r>
        <w:rPr>
          <w:i/>
          <w:iCs/>
        </w:rPr>
        <w:t>fundraising</w:t>
      </w:r>
      <w:r>
        <w:t xml:space="preserve"> karena dapat memanfaatkan instrumen filantropi Islam, yaitu zakat, infak, sedekah, dan wakaf (ZISWAF). Penelitian [6] menunjukkan bahwa model pendayagunaan zakat pada pesantren mampu memperkuat program pendidikan sekaligus pemberdayaan ekonomi apabila dikelola melalui mekanisme yang terstruktur. Wakaf produktif juga semakin mendapat perhatian sebagai instrumen pembiayaan jangka panjang, di mana aset wakaf tidak hanya digunakan untuk sarana ibadah dan pendidikan, tetapi dikembangkan menjadi aset yang menghasilkan surplus bagi operasional lembaga.</w:t>
      </w:r>
    </w:p>
    <w:p w14:paraId="3AD5F381" w14:textId="77777777" w:rsidR="002A2923" w:rsidRDefault="00831910" w:rsidP="00F24B53">
      <w:pPr>
        <w:spacing w:after="120"/>
        <w:jc w:val="both"/>
      </w:pPr>
      <w:r>
        <w:t xml:space="preserve">Temuan [4] menegaskan bahwa peningkatan partisipasi donatur dalam pengembangan lembaga pendidikan Islam dipengaruhi oleh strategi </w:t>
      </w:r>
      <w:r>
        <w:rPr>
          <w:i/>
          <w:iCs/>
        </w:rPr>
        <w:t>fundraising</w:t>
      </w:r>
      <w:r>
        <w:t xml:space="preserve"> yang menyentuh motivasi religius donatur, kemudahan saluran donasi, serta kepercayaan terhadap pengelolaan dana. Hal ini sejalan dengan praktik lembaga amil zakat yang memanfaatkan media sosial sebagai kanal informasi dan penghimpunan ZIS. Dengan demikian, paradigma </w:t>
      </w:r>
      <w:r>
        <w:rPr>
          <w:i/>
          <w:iCs/>
        </w:rPr>
        <w:t>fundraising</w:t>
      </w:r>
      <w:r>
        <w:t xml:space="preserve"> lembaga pendidikan Islam perlu bergeser dari pola tradisional yang bertumpu pada karisma tokoh (kiai) menuju </w:t>
      </w:r>
      <w:r>
        <w:rPr>
          <w:i/>
          <w:iCs/>
        </w:rPr>
        <w:t>fundraising</w:t>
      </w:r>
      <w:r>
        <w:t xml:space="preserve"> modern yang melembaga, profesional, dan tidak bergantung pada figur perseorangan.</w:t>
      </w:r>
    </w:p>
    <w:p w14:paraId="3CEB71E2" w14:textId="77777777" w:rsidR="00940D6E" w:rsidRPr="00F24B53" w:rsidRDefault="00831910" w:rsidP="00F24B53">
      <w:pPr>
        <w:spacing w:after="120"/>
        <w:jc w:val="both"/>
      </w:pPr>
      <w:r w:rsidRPr="00F24B53">
        <w:t xml:space="preserve">Fundraising dalam perspektif manajemen pendidikan perlu ditempatkan sebagai fungsi strategis yang terhubung langsung dengan perencanaan program, bukan sebagai kegiatan tambahan ketika lembaga mengalami kekurangan kas. Setiap program pendidikan, peningkatan sarana, beasiswa, kesejahteraan pendidik, dan pemberdayaan masyarakat memerlukan peta kebutuhan pendanaan yang jelas. Peta tersebut menjadi dasar penentuan sasaran penghimpunan, kelompok donatur, bentuk pesan, dan jangka waktu kampanye. Dengan pendekatan ini, lembaga dapat menjelaskan hubungan antara dana yang dihimpun dan manfaat pendidikan yang dihasilkan. Kejelasan </w:t>
      </w:r>
      <w:r w:rsidRPr="00F24B53">
        <w:lastRenderedPageBreak/>
        <w:t>tersebut memperkuat legitimasi program sekaligus membantu donatur memahami bahwa kontribusi mereka merupakan bagian dari agenda pengembangan lembaga yang terukur [1], [4].</w:t>
      </w:r>
    </w:p>
    <w:p w14:paraId="2F7CB2A9" w14:textId="77777777" w:rsidR="00940D6E" w:rsidRPr="00F24B53" w:rsidRDefault="00831910" w:rsidP="00F24B53">
      <w:pPr>
        <w:spacing w:after="120"/>
        <w:jc w:val="both"/>
      </w:pPr>
      <w:r w:rsidRPr="00F24B53">
        <w:t>Karakter lembaga pendidikan Islam menghadirkan modal sosial yang kuat berupa jaringan wali santri, alumni, masyarakat sekitar, organisasi keagamaan, dan mitra usaha. Akan tetapi, modal sosial tidak otomatis berubah menjadi dukungan finansial yang berkelanjutan. Lembaga perlu memetakan pemangku kepentingan berdasarkan kedekatan, kapasitas, minat program, dan pola kontribusi. Alumni dapat diarahkan pada donasi rutin atau pendanaan beasiswa, masyarakat sekitar pada dukungan program sosial, sedangkan perusahaan dapat didekati melalui program tanggung jawab sosial. Pemetaan tersebut membuat komunikasi lebih relevan dan mencegah penggunaan pesan yang sama untuk semua kelompok. Fundraising akhirnya berkembang dari pola permohonan umum menjadi pengelolaan relasi yang terencana.</w:t>
      </w:r>
    </w:p>
    <w:p w14:paraId="5DDEC2C7" w14:textId="77777777" w:rsidR="00940D6E" w:rsidRPr="00F24B53" w:rsidRDefault="00831910" w:rsidP="00F24B53">
      <w:pPr>
        <w:spacing w:after="120"/>
        <w:jc w:val="both"/>
      </w:pPr>
      <w:r w:rsidRPr="00F24B53">
        <w:t>Instrumen zakat, infak, sedekah, dan wakaf memiliki karakter hukum, tujuan, serta pola pengelolaan yang berbeda. Karena itu, lembaga harus membedakan penerimaan, pencatatan, penyaluran, dan pelaporan masing-masing instrumen. Zakat terikat pada ketentuan penerima, sedangkan infak dan sedekah relatif lebih fleksibel sesuai amanah pemberi. Wakaf menuntut penjagaan pokok aset dan pemanfaatan hasilnya secara berkelanjutan. Pembedaan ini penting agar fundraising tidak hanya berhasil secara nominal, tetapi juga patuh terhadap prinsip syariah dan amanah donatur. Pengelolaan yang tertib sekaligus membuka peluang menjadikan wakaf produktif sebagai sumber pembiayaan jangka panjang bagi operasional pendidikan dan pemberdayaan ekonomi [6], [8].</w:t>
      </w:r>
    </w:p>
    <w:p w14:paraId="45E32DC6" w14:textId="77777777" w:rsidR="00940D6E" w:rsidRPr="00F24B53" w:rsidRDefault="00831910" w:rsidP="00F24B53">
      <w:pPr>
        <w:spacing w:after="120"/>
        <w:jc w:val="both"/>
      </w:pPr>
      <w:r w:rsidRPr="00F24B53">
        <w:t>Kepercayaan donatur terbentuk melalui rangkaian pengalaman yang konsisten, mulai dari penyampaian informasi, kemudahan transaksi, konfirmasi penerimaan, hingga laporan penggunaan dana. Setiap tahap perlu dirancang sebagai satu siklus pelayanan donatur. Donatur baru membutuhkan penjelasan singkat dan meyakinkan tentang identitas lembaga, sedangkan donatur lama memerlukan informasi perkembangan program dan dampak kontribusi. Ucapan terima kasih, laporan berkala, dokumentasi kegiatan, serta ruang untuk memberi masukan dapat memperkuat hubungan jangka panjang. Dalam konteks ini, fundraising tidak berhenti ketika dana diterima, tetapi berlanjut pada pemeliharaan relasi agar donatur bersedia memberikan dukungan kembali dan merekomendasikan lembaga kepada jaringan mereka [4], [12].</w:t>
      </w:r>
    </w:p>
    <w:p w14:paraId="375FEAD5" w14:textId="77777777" w:rsidR="00940D6E" w:rsidRPr="00F24B53" w:rsidRDefault="00831910" w:rsidP="00F24B53">
      <w:pPr>
        <w:spacing w:after="120"/>
        <w:jc w:val="both"/>
      </w:pPr>
      <w:r w:rsidRPr="00F24B53">
        <w:t>Profesionalisasi fundraising tidak berarti menghilangkan nilai spiritual dan kedekatan sosial yang selama ini menjadi kekuatan pesantren. Profesionalisasi justru menggabungkan nilai amanah, keikhlasan, dan kemaslahatan dengan perencanaan, pencatatan, komunikasi, serta pengukuran kinerja. Karisma kiai tetap dapat menjadi sumber legitimasi, namun proses operasional perlu ditopang oleh sistem agar tidak bergantung pada satu figur. Basis data donatur, prosedur penerimaan, persetujuan penggunaan dana, dan pelaporan harus tetap berjalan ketika terjadi pergantian pengurus. Dengan demikian, lembaga mampu menjaga kesinambungan fundraising sekaligus mempertahankan karakter keislaman yang menjadi dasar hubungan dengan masyarakat.</w:t>
      </w:r>
    </w:p>
    <w:p w14:paraId="75C0C86A" w14:textId="77777777" w:rsidR="00940D6E" w:rsidRPr="00F24B53" w:rsidRDefault="00831910" w:rsidP="00F24B53">
      <w:pPr>
        <w:spacing w:after="120"/>
        <w:jc w:val="both"/>
      </w:pPr>
      <w:r w:rsidRPr="00F24B53">
        <w:t>Kajian literatur juga menunjukkan adanya risiko apabila fundraising tidak dikelola secara hati-hati. Target yang terlalu agresif dapat mendorong komunikasi yang berlebihan, sedangkan pelaporan yang tidak lengkap dapat menurunkan kepercayaan. Ketergantungan pada satu donatur besar membuat program rentan ketika dukungan dihentikan. Risiko lain muncul dari penggunaan rekening pribadi, pencampuran dana terikat dan tidak terikat, serta dokumentasi yang tidak memadai. Karena itu, lembaga perlu menetapkan pengendalian internal, pembagian kewenangan, rekonsiliasi penerimaan, dan mekanisme pengaduan. Pengendalian tersebut melindungi lembaga, donatur, dan penerima manfaat sekaligus menjadi fondasi bagi pertumbuhan fundraising yang sehat.</w:t>
      </w:r>
    </w:p>
    <w:p w14:paraId="7FD57EF1" w14:textId="77777777" w:rsidR="002A2923" w:rsidRPr="00F24B53" w:rsidRDefault="00831910" w:rsidP="00F24B53">
      <w:pPr>
        <w:keepNext/>
        <w:spacing w:before="140" w:after="100"/>
        <w:rPr>
          <w:b/>
          <w:bCs/>
        </w:rPr>
      </w:pPr>
      <w:r w:rsidRPr="00F24B53">
        <w:rPr>
          <w:b/>
          <w:bCs/>
        </w:rPr>
        <w:t>3.2 Strategi Fundraising Lembaga Pendidikan Islam</w:t>
      </w:r>
    </w:p>
    <w:p w14:paraId="3C73EE3E" w14:textId="77777777" w:rsidR="002A2923" w:rsidRDefault="00831910" w:rsidP="00F24B53">
      <w:pPr>
        <w:spacing w:after="120"/>
        <w:jc w:val="both"/>
      </w:pPr>
      <w:r>
        <w:t xml:space="preserve">Berdasarkan sintesis literatur, strategi </w:t>
      </w:r>
      <w:r>
        <w:rPr>
          <w:i/>
          <w:iCs/>
        </w:rPr>
        <w:t>fundraising</w:t>
      </w:r>
      <w:r>
        <w:t xml:space="preserve"> lembaga pendidikan Islam dapat dikelompokkan ke dalam empat ranah utama sebagaimana dirangkum pada Tabel 1.</w:t>
      </w:r>
    </w:p>
    <w:p w14:paraId="4687A2C1" w14:textId="77777777" w:rsidR="002A2923" w:rsidRDefault="00831910" w:rsidP="00F24B53">
      <w:pPr>
        <w:keepNext/>
        <w:spacing w:before="120" w:after="60"/>
        <w:jc w:val="center"/>
      </w:pPr>
      <w:r>
        <w:rPr>
          <w:sz w:val="16"/>
          <w:szCs w:val="16"/>
        </w:rPr>
        <w:t>Tabel 1. Empat ranah strategi fundraising lembaga pendidikan Islam</w:t>
      </w:r>
    </w:p>
    <w:tbl>
      <w:tblPr>
        <w:tblW w:w="9070" w:type="dxa"/>
        <w:tblBorders>
          <w:top w:val="single" w:sz="4" w:space="0" w:color="000000"/>
          <w:bottom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
        <w:gridCol w:w="2300"/>
        <w:gridCol w:w="4350"/>
        <w:gridCol w:w="1900"/>
      </w:tblGrid>
      <w:tr w:rsidR="002A2923" w14:paraId="73356E9F" w14:textId="77777777">
        <w:trPr>
          <w:tblHeader/>
        </w:trPr>
        <w:tc>
          <w:tcPr>
            <w:tcW w:w="520" w:type="dxa"/>
            <w:tcBorders>
              <w:bottom w:val="single" w:sz="4" w:space="0" w:color="000000"/>
            </w:tcBorders>
            <w:tcMar>
              <w:top w:w="40" w:type="dxa"/>
              <w:left w:w="80" w:type="dxa"/>
              <w:bottom w:w="40" w:type="dxa"/>
              <w:right w:w="80" w:type="dxa"/>
            </w:tcMar>
          </w:tcPr>
          <w:p w14:paraId="5C7BA4F9" w14:textId="77777777" w:rsidR="002A2923" w:rsidRDefault="00831910" w:rsidP="00F24B53">
            <w:r>
              <w:rPr>
                <w:b/>
                <w:bCs/>
                <w:sz w:val="16"/>
                <w:szCs w:val="16"/>
              </w:rPr>
              <w:t>No</w:t>
            </w:r>
          </w:p>
        </w:tc>
        <w:tc>
          <w:tcPr>
            <w:tcW w:w="2300" w:type="dxa"/>
            <w:tcBorders>
              <w:bottom w:val="single" w:sz="4" w:space="0" w:color="000000"/>
            </w:tcBorders>
            <w:tcMar>
              <w:top w:w="40" w:type="dxa"/>
              <w:left w:w="80" w:type="dxa"/>
              <w:bottom w:w="40" w:type="dxa"/>
              <w:right w:w="80" w:type="dxa"/>
            </w:tcMar>
          </w:tcPr>
          <w:p w14:paraId="0E74BCA7" w14:textId="77777777" w:rsidR="002A2923" w:rsidRDefault="00831910" w:rsidP="00F24B53">
            <w:r>
              <w:rPr>
                <w:b/>
                <w:bCs/>
                <w:sz w:val="16"/>
                <w:szCs w:val="16"/>
              </w:rPr>
              <w:t>Ranah Strategi</w:t>
            </w:r>
          </w:p>
        </w:tc>
        <w:tc>
          <w:tcPr>
            <w:tcW w:w="4350" w:type="dxa"/>
            <w:tcBorders>
              <w:bottom w:val="single" w:sz="4" w:space="0" w:color="000000"/>
            </w:tcBorders>
            <w:tcMar>
              <w:top w:w="40" w:type="dxa"/>
              <w:left w:w="80" w:type="dxa"/>
              <w:bottom w:w="40" w:type="dxa"/>
              <w:right w:w="80" w:type="dxa"/>
            </w:tcMar>
          </w:tcPr>
          <w:p w14:paraId="2F75FE21" w14:textId="77777777" w:rsidR="002A2923" w:rsidRDefault="00831910" w:rsidP="00F24B53">
            <w:r>
              <w:rPr>
                <w:b/>
                <w:bCs/>
                <w:sz w:val="16"/>
                <w:szCs w:val="16"/>
              </w:rPr>
              <w:t>Bentuk Implementasi</w:t>
            </w:r>
          </w:p>
        </w:tc>
        <w:tc>
          <w:tcPr>
            <w:tcW w:w="1900" w:type="dxa"/>
            <w:tcBorders>
              <w:bottom w:val="single" w:sz="4" w:space="0" w:color="000000"/>
            </w:tcBorders>
            <w:tcMar>
              <w:top w:w="40" w:type="dxa"/>
              <w:left w:w="80" w:type="dxa"/>
              <w:bottom w:w="40" w:type="dxa"/>
              <w:right w:w="80" w:type="dxa"/>
            </w:tcMar>
          </w:tcPr>
          <w:p w14:paraId="5CA2F8F3" w14:textId="77777777" w:rsidR="002A2923" w:rsidRDefault="00831910" w:rsidP="00F24B53">
            <w:r>
              <w:rPr>
                <w:b/>
                <w:bCs/>
                <w:sz w:val="16"/>
                <w:szCs w:val="16"/>
              </w:rPr>
              <w:t>Rujukan</w:t>
            </w:r>
          </w:p>
        </w:tc>
      </w:tr>
      <w:tr w:rsidR="002A2923" w14:paraId="4DC322DF" w14:textId="77777777">
        <w:tc>
          <w:tcPr>
            <w:tcW w:w="520" w:type="dxa"/>
            <w:tcMar>
              <w:top w:w="30" w:type="dxa"/>
              <w:left w:w="80" w:type="dxa"/>
              <w:bottom w:w="30" w:type="dxa"/>
              <w:right w:w="80" w:type="dxa"/>
            </w:tcMar>
          </w:tcPr>
          <w:p w14:paraId="63E1BCA0" w14:textId="77777777" w:rsidR="002A2923" w:rsidRDefault="00831910" w:rsidP="00F24B53">
            <w:pPr>
              <w:jc w:val="center"/>
            </w:pPr>
            <w:r>
              <w:rPr>
                <w:sz w:val="16"/>
                <w:szCs w:val="16"/>
              </w:rPr>
              <w:t>1</w:t>
            </w:r>
          </w:p>
        </w:tc>
        <w:tc>
          <w:tcPr>
            <w:tcW w:w="2300" w:type="dxa"/>
            <w:tcMar>
              <w:top w:w="30" w:type="dxa"/>
              <w:left w:w="80" w:type="dxa"/>
              <w:bottom w:w="30" w:type="dxa"/>
              <w:right w:w="80" w:type="dxa"/>
            </w:tcMar>
          </w:tcPr>
          <w:p w14:paraId="660E317F" w14:textId="77777777" w:rsidR="002A2923" w:rsidRDefault="00831910" w:rsidP="00F24B53">
            <w:r>
              <w:rPr>
                <w:sz w:val="16"/>
                <w:szCs w:val="16"/>
              </w:rPr>
              <w:t>Diversifikasi sumber dana</w:t>
            </w:r>
          </w:p>
        </w:tc>
        <w:tc>
          <w:tcPr>
            <w:tcW w:w="4350" w:type="dxa"/>
            <w:tcMar>
              <w:top w:w="30" w:type="dxa"/>
              <w:left w:w="80" w:type="dxa"/>
              <w:bottom w:w="30" w:type="dxa"/>
              <w:right w:w="80" w:type="dxa"/>
            </w:tcMar>
          </w:tcPr>
          <w:p w14:paraId="498DBA24" w14:textId="77777777" w:rsidR="002A2923" w:rsidRDefault="00831910" w:rsidP="00F24B53">
            <w:r>
              <w:rPr>
                <w:sz w:val="16"/>
                <w:szCs w:val="16"/>
              </w:rPr>
              <w:t>Iuran pendidikan, ZISWAF, hibah pemerintah (Perpres 82/2021), CSR, kemitraan alumni, dan hasil usaha lembaga</w:t>
            </w:r>
          </w:p>
        </w:tc>
        <w:tc>
          <w:tcPr>
            <w:tcW w:w="1900" w:type="dxa"/>
            <w:tcMar>
              <w:top w:w="30" w:type="dxa"/>
              <w:left w:w="80" w:type="dxa"/>
              <w:bottom w:w="30" w:type="dxa"/>
              <w:right w:w="80" w:type="dxa"/>
            </w:tcMar>
          </w:tcPr>
          <w:p w14:paraId="5D2ACB39" w14:textId="77777777" w:rsidR="002A2923" w:rsidRDefault="00831910" w:rsidP="00F24B53">
            <w:pPr>
              <w:jc w:val="center"/>
            </w:pPr>
            <w:r>
              <w:rPr>
                <w:sz w:val="16"/>
                <w:szCs w:val="16"/>
              </w:rPr>
              <w:t>[10]</w:t>
            </w:r>
          </w:p>
        </w:tc>
      </w:tr>
      <w:tr w:rsidR="002A2923" w14:paraId="52AE5375" w14:textId="77777777">
        <w:tc>
          <w:tcPr>
            <w:tcW w:w="520" w:type="dxa"/>
            <w:tcMar>
              <w:top w:w="30" w:type="dxa"/>
              <w:left w:w="80" w:type="dxa"/>
              <w:bottom w:w="30" w:type="dxa"/>
              <w:right w:w="80" w:type="dxa"/>
            </w:tcMar>
          </w:tcPr>
          <w:p w14:paraId="521DA4B2" w14:textId="77777777" w:rsidR="002A2923" w:rsidRDefault="00831910" w:rsidP="00F24B53">
            <w:pPr>
              <w:jc w:val="center"/>
            </w:pPr>
            <w:r>
              <w:rPr>
                <w:sz w:val="16"/>
                <w:szCs w:val="16"/>
              </w:rPr>
              <w:t>2</w:t>
            </w:r>
          </w:p>
        </w:tc>
        <w:tc>
          <w:tcPr>
            <w:tcW w:w="2300" w:type="dxa"/>
            <w:tcMar>
              <w:top w:w="30" w:type="dxa"/>
              <w:left w:w="80" w:type="dxa"/>
              <w:bottom w:w="30" w:type="dxa"/>
              <w:right w:w="80" w:type="dxa"/>
            </w:tcMar>
          </w:tcPr>
          <w:p w14:paraId="564418C7" w14:textId="77777777" w:rsidR="002A2923" w:rsidRDefault="00831910" w:rsidP="00F24B53">
            <w:r>
              <w:rPr>
                <w:sz w:val="16"/>
                <w:szCs w:val="16"/>
              </w:rPr>
              <w:t>Digitalisasi fundraising</w:t>
            </w:r>
          </w:p>
        </w:tc>
        <w:tc>
          <w:tcPr>
            <w:tcW w:w="4350" w:type="dxa"/>
            <w:tcMar>
              <w:top w:w="30" w:type="dxa"/>
              <w:left w:w="80" w:type="dxa"/>
              <w:bottom w:w="30" w:type="dxa"/>
              <w:right w:w="80" w:type="dxa"/>
            </w:tcMar>
          </w:tcPr>
          <w:p w14:paraId="0D777B83" w14:textId="77777777" w:rsidR="002A2923" w:rsidRDefault="00831910" w:rsidP="00F24B53">
            <w:r>
              <w:rPr>
                <w:sz w:val="16"/>
                <w:szCs w:val="16"/>
              </w:rPr>
              <w:t>Platform donasi daring, kode QR (QRIS), perbankan syariah, kampanye media sosial</w:t>
            </w:r>
          </w:p>
        </w:tc>
        <w:tc>
          <w:tcPr>
            <w:tcW w:w="1900" w:type="dxa"/>
            <w:tcMar>
              <w:top w:w="30" w:type="dxa"/>
              <w:left w:w="80" w:type="dxa"/>
              <w:bottom w:w="30" w:type="dxa"/>
              <w:right w:w="80" w:type="dxa"/>
            </w:tcMar>
          </w:tcPr>
          <w:p w14:paraId="3BCA15AD" w14:textId="77777777" w:rsidR="002A2923" w:rsidRDefault="00831910" w:rsidP="00F24B53">
            <w:pPr>
              <w:jc w:val="center"/>
            </w:pPr>
            <w:r>
              <w:rPr>
                <w:sz w:val="16"/>
                <w:szCs w:val="16"/>
              </w:rPr>
              <w:t>[11]</w:t>
            </w:r>
          </w:p>
        </w:tc>
      </w:tr>
      <w:tr w:rsidR="002A2923" w14:paraId="4ABCADD1" w14:textId="77777777">
        <w:tc>
          <w:tcPr>
            <w:tcW w:w="520" w:type="dxa"/>
            <w:tcMar>
              <w:top w:w="30" w:type="dxa"/>
              <w:left w:w="80" w:type="dxa"/>
              <w:bottom w:w="30" w:type="dxa"/>
              <w:right w:w="80" w:type="dxa"/>
            </w:tcMar>
          </w:tcPr>
          <w:p w14:paraId="04C47F88" w14:textId="77777777" w:rsidR="002A2923" w:rsidRDefault="00831910" w:rsidP="00F24B53">
            <w:pPr>
              <w:jc w:val="center"/>
            </w:pPr>
            <w:r>
              <w:rPr>
                <w:sz w:val="16"/>
                <w:szCs w:val="16"/>
              </w:rPr>
              <w:t>3</w:t>
            </w:r>
          </w:p>
        </w:tc>
        <w:tc>
          <w:tcPr>
            <w:tcW w:w="2300" w:type="dxa"/>
            <w:tcMar>
              <w:top w:w="30" w:type="dxa"/>
              <w:left w:w="80" w:type="dxa"/>
              <w:bottom w:w="30" w:type="dxa"/>
              <w:right w:w="80" w:type="dxa"/>
            </w:tcMar>
          </w:tcPr>
          <w:p w14:paraId="015D3796" w14:textId="77777777" w:rsidR="002A2923" w:rsidRDefault="00831910" w:rsidP="00F24B53">
            <w:r>
              <w:rPr>
                <w:sz w:val="16"/>
                <w:szCs w:val="16"/>
              </w:rPr>
              <w:t>Pengelolaan kepercayaan donatur</w:t>
            </w:r>
          </w:p>
        </w:tc>
        <w:tc>
          <w:tcPr>
            <w:tcW w:w="4350" w:type="dxa"/>
            <w:tcMar>
              <w:top w:w="30" w:type="dxa"/>
              <w:left w:w="80" w:type="dxa"/>
              <w:bottom w:w="30" w:type="dxa"/>
              <w:right w:w="80" w:type="dxa"/>
            </w:tcMar>
          </w:tcPr>
          <w:p w14:paraId="702A2B4A" w14:textId="77777777" w:rsidR="002A2923" w:rsidRDefault="00831910" w:rsidP="00F24B53">
            <w:r>
              <w:rPr>
                <w:sz w:val="16"/>
                <w:szCs w:val="16"/>
              </w:rPr>
              <w:t>Pelaporan keuangan berstandar, audit berkala, publikasi penggunaan dana (akuntabilitas)</w:t>
            </w:r>
          </w:p>
        </w:tc>
        <w:tc>
          <w:tcPr>
            <w:tcW w:w="1900" w:type="dxa"/>
            <w:tcMar>
              <w:top w:w="30" w:type="dxa"/>
              <w:left w:w="80" w:type="dxa"/>
              <w:bottom w:w="30" w:type="dxa"/>
              <w:right w:w="80" w:type="dxa"/>
            </w:tcMar>
          </w:tcPr>
          <w:p w14:paraId="1CCB9FC3" w14:textId="77777777" w:rsidR="002A2923" w:rsidRDefault="00831910" w:rsidP="00F24B53">
            <w:pPr>
              <w:jc w:val="center"/>
            </w:pPr>
            <w:r>
              <w:rPr>
                <w:sz w:val="16"/>
                <w:szCs w:val="16"/>
              </w:rPr>
              <w:t>[12]</w:t>
            </w:r>
          </w:p>
        </w:tc>
      </w:tr>
      <w:tr w:rsidR="002A2923" w14:paraId="30DA84DE" w14:textId="77777777">
        <w:tc>
          <w:tcPr>
            <w:tcW w:w="520" w:type="dxa"/>
            <w:tcMar>
              <w:top w:w="30" w:type="dxa"/>
              <w:left w:w="80" w:type="dxa"/>
              <w:bottom w:w="30" w:type="dxa"/>
              <w:right w:w="80" w:type="dxa"/>
            </w:tcMar>
          </w:tcPr>
          <w:p w14:paraId="43650AAF" w14:textId="77777777" w:rsidR="002A2923" w:rsidRDefault="00831910" w:rsidP="00F24B53">
            <w:pPr>
              <w:jc w:val="center"/>
            </w:pPr>
            <w:r>
              <w:rPr>
                <w:sz w:val="16"/>
                <w:szCs w:val="16"/>
              </w:rPr>
              <w:t>4</w:t>
            </w:r>
          </w:p>
        </w:tc>
        <w:tc>
          <w:tcPr>
            <w:tcW w:w="2300" w:type="dxa"/>
            <w:tcMar>
              <w:top w:w="30" w:type="dxa"/>
              <w:left w:w="80" w:type="dxa"/>
              <w:bottom w:w="30" w:type="dxa"/>
              <w:right w:w="80" w:type="dxa"/>
            </w:tcMar>
          </w:tcPr>
          <w:p w14:paraId="1657BAA9" w14:textId="77777777" w:rsidR="002A2923" w:rsidRDefault="00831910" w:rsidP="00F24B53">
            <w:r>
              <w:rPr>
                <w:sz w:val="16"/>
                <w:szCs w:val="16"/>
              </w:rPr>
              <w:t>Kelembagaan profesional</w:t>
            </w:r>
          </w:p>
        </w:tc>
        <w:tc>
          <w:tcPr>
            <w:tcW w:w="4350" w:type="dxa"/>
            <w:tcMar>
              <w:top w:w="30" w:type="dxa"/>
              <w:left w:w="80" w:type="dxa"/>
              <w:bottom w:w="30" w:type="dxa"/>
              <w:right w:w="80" w:type="dxa"/>
            </w:tcMar>
          </w:tcPr>
          <w:p w14:paraId="3EA0AC21" w14:textId="77777777" w:rsidR="002A2923" w:rsidRDefault="00831910" w:rsidP="00F24B53">
            <w:r>
              <w:rPr>
                <w:sz w:val="16"/>
                <w:szCs w:val="16"/>
              </w:rPr>
              <w:t>Unit fundraising khusus, SDM kompeten, target terukur, basis data donatur, evaluasi periodik</w:t>
            </w:r>
          </w:p>
        </w:tc>
        <w:tc>
          <w:tcPr>
            <w:tcW w:w="1900" w:type="dxa"/>
            <w:tcMar>
              <w:top w:w="30" w:type="dxa"/>
              <w:left w:w="80" w:type="dxa"/>
              <w:bottom w:w="30" w:type="dxa"/>
              <w:right w:w="80" w:type="dxa"/>
            </w:tcMar>
          </w:tcPr>
          <w:p w14:paraId="34F83373" w14:textId="77777777" w:rsidR="002A2923" w:rsidRDefault="00831910" w:rsidP="00F24B53">
            <w:pPr>
              <w:jc w:val="center"/>
            </w:pPr>
            <w:r>
              <w:rPr>
                <w:sz w:val="16"/>
                <w:szCs w:val="16"/>
              </w:rPr>
              <w:t>[13]</w:t>
            </w:r>
          </w:p>
        </w:tc>
      </w:tr>
    </w:tbl>
    <w:p w14:paraId="4A27F411" w14:textId="77777777" w:rsidR="002A2923" w:rsidRDefault="002A2923" w:rsidP="00F24B53">
      <w:pPr>
        <w:spacing w:after="80"/>
      </w:pPr>
    </w:p>
    <w:p w14:paraId="79CB0B96" w14:textId="77777777" w:rsidR="002A2923" w:rsidRDefault="00831910" w:rsidP="00F24B53">
      <w:pPr>
        <w:spacing w:after="120"/>
        <w:jc w:val="both"/>
      </w:pPr>
      <w:r>
        <w:lastRenderedPageBreak/>
        <w:t>Pertama, diversifikasi sumber dana. Lembaga tidak boleh bergantung pada satu sumber; portofolio pendanaan idealnya mencakup iuran pendidikan, ZISWAF, hibah pemerintah (termasuk skema Peraturan Presiden Nomor 82 Tahun 2021), dana tanggung jawab sosial perusahaan (</w:t>
      </w:r>
      <w:r>
        <w:rPr>
          <w:i/>
          <w:iCs/>
        </w:rPr>
        <w:t>CSR</w:t>
      </w:r>
      <w:r>
        <w:t>), kemitraan alumni, dan hasil usaha lembaga. Diversifikasi terbukti meningkatkan ketahanan fiskal lembaga ketika salah satu sumber mengalami penurunan [10].</w:t>
      </w:r>
    </w:p>
    <w:p w14:paraId="7D886A68" w14:textId="77777777" w:rsidR="002A2923" w:rsidRDefault="00831910" w:rsidP="00F24B53">
      <w:pPr>
        <w:spacing w:after="120"/>
        <w:jc w:val="both"/>
      </w:pPr>
      <w:r>
        <w:t xml:space="preserve">Kedua, digitalisasi </w:t>
      </w:r>
      <w:r>
        <w:rPr>
          <w:i/>
          <w:iCs/>
        </w:rPr>
        <w:t>fundraising</w:t>
      </w:r>
      <w:r>
        <w:t>. Transformasi digital membuka kanal penghimpunan baru melalui platform donasi daring, kode QR (QRIS), transfer perbankan syariah, dan kampanye media sosial. Digitalisasi tidak hanya memperluas jangkauan donatur lintas wilayah, tetapi juga mempercepat pelaporan dan meningkatkan transparansi [11]. Bagi pesantren yang memiliki jaringan alumni luas, kanal digital menjadi sarana efektif menghimpun donasi rutin berbasis komunitas.</w:t>
      </w:r>
    </w:p>
    <w:p w14:paraId="75670DCA" w14:textId="77777777" w:rsidR="002A2923" w:rsidRDefault="00831910" w:rsidP="00F24B53">
      <w:pPr>
        <w:spacing w:after="120"/>
        <w:jc w:val="both"/>
      </w:pPr>
      <w:r>
        <w:t xml:space="preserve">Ketiga, pengelolaan kepercayaan donatur melalui akuntabilitas. Kepercayaan merupakan mata uang utama </w:t>
      </w:r>
      <w:r>
        <w:rPr>
          <w:i/>
          <w:iCs/>
        </w:rPr>
        <w:t>fundraising</w:t>
      </w:r>
      <w:r>
        <w:t>. Penerapan tata kelola yang baik (</w:t>
      </w:r>
      <w:r>
        <w:rPr>
          <w:i/>
          <w:iCs/>
        </w:rPr>
        <w:t>good governance</w:t>
      </w:r>
      <w:r>
        <w:t>) dalam pengelolaan keuangan—termasuk pelaporan keuangan yang sesuai standar, audit berkala, dan publikasi penggunaan dana—berkorelasi dengan keberlanjutan dukungan donatur [12]. Lembaga yang transparan akan lebih mudah mempertahankan donatur lama sekaligus menarik donatur baru.</w:t>
      </w:r>
    </w:p>
    <w:p w14:paraId="0D8901E3" w14:textId="77777777" w:rsidR="002A2923" w:rsidRDefault="00831910" w:rsidP="00F24B53">
      <w:pPr>
        <w:spacing w:after="120"/>
        <w:jc w:val="both"/>
      </w:pPr>
      <w:r>
        <w:t xml:space="preserve">Keempat, kelembagaan </w:t>
      </w:r>
      <w:r>
        <w:rPr>
          <w:i/>
          <w:iCs/>
        </w:rPr>
        <w:t>fundraising</w:t>
      </w:r>
      <w:r>
        <w:t xml:space="preserve"> yang profesional. Strategi penghimpunan dana perlu dikelola oleh unit khusus dengan sumber daya manusia yang kompeten, target terukur, dan basis data donatur yang terkelola. Tabrani dkk. [13] menggarisbawahi bahwa pengembangan pesantren memerlukan perencanaan strategis berbasis analisis kinerja, bukan sekadar mengikuti tren; prinsip yang sama berlaku pada fungsi </w:t>
      </w:r>
      <w:r>
        <w:rPr>
          <w:i/>
          <w:iCs/>
        </w:rPr>
        <w:t>fundraising</w:t>
      </w:r>
      <w:r>
        <w:t xml:space="preserve"> yang menuntut perencanaan, segmentasi donatur, dan evaluasi capaian secara periodik.</w:t>
      </w:r>
    </w:p>
    <w:p w14:paraId="5C1A0C8C" w14:textId="77777777" w:rsidR="00940D6E" w:rsidRPr="00F24B53" w:rsidRDefault="00831910" w:rsidP="00F24B53">
      <w:pPr>
        <w:spacing w:after="120"/>
        <w:jc w:val="both"/>
      </w:pPr>
      <w:r w:rsidRPr="00F24B53">
        <w:t>Diversifikasi sumber dana perlu dirancang sebagai portofolio yang seimbang antara sumber rutin, sumber berbasis program, dan sumber produktif. Iuran pendidikan dapat menopang kebutuhan dasar, sedangkan ZISWAF, hibah, CSR, dan dukungan alumni dapat diarahkan pada program tertentu. Hasil usaha berfungsi sebagai sumber internal yang relatif lebih fleksibel. Komposisi tersebut perlu disesuaikan dengan karakter lembaga agar tidak menambah beban wali santri atau menggeser misi pendidikan. Portofolio yang sehat mengurangi ketergantungan pada satu sumber dan memungkinkan lembaga tetap menjalankan program ketika terjadi penurunan penerimaan pada salah satu kanal [3], [10].</w:t>
      </w:r>
    </w:p>
    <w:p w14:paraId="6E6041B4" w14:textId="77777777" w:rsidR="00940D6E" w:rsidRPr="00F24B53" w:rsidRDefault="00831910" w:rsidP="00F24B53">
      <w:pPr>
        <w:spacing w:after="120"/>
        <w:jc w:val="both"/>
      </w:pPr>
      <w:r w:rsidRPr="00F24B53">
        <w:t>Segmentasi donatur dapat dilakukan berdasarkan hubungan dengan lembaga, kemampuan kontribusi, preferensi program, dan frekuensi pemberian. Donatur individu mungkin tertarik pada beasiswa atau bantuan santri, sedangkan perusahaan lebih mempertimbangkan dampak sosial yang dapat diukur. Alumni dapat dilibatkan melalui program angkatan, dana abadi, atau dukungan unit usaha. Setelah segmentasi terbentuk, lembaga dapat menyusun proposisi nilai yang berbeda untuk setiap kelompok. Pendekatan ini membuat pesan fundraising lebih spesifik, menghindari komunikasi massal yang tidak relevan, dan meningkatkan kemungkinan terbentuknya hubungan jangka panjang.</w:t>
      </w:r>
    </w:p>
    <w:p w14:paraId="7DC59757" w14:textId="77777777" w:rsidR="00940D6E" w:rsidRPr="00F24B53" w:rsidRDefault="00831910" w:rsidP="00F24B53">
      <w:pPr>
        <w:spacing w:after="120"/>
        <w:jc w:val="both"/>
      </w:pPr>
      <w:r w:rsidRPr="00F24B53">
        <w:t>Digitalisasi fundraising perlu dipahami bukan sekadar menambahkan kode QR pada poster. Transformasi digital mencakup penyediaan halaman program yang jelas, kanal pembayaran yang mudah, pencatatan otomatis, konfirmasi transaksi, dan laporan perkembangan yang dapat diakses. Media sosial berfungsi untuk membangun kesadaran, sedangkan laman resmi menjadi pusat informasi dan verifikasi. Data transaksi harus terhubung dengan basis data donatur agar lembaga dapat mengetahui pola pemberian tanpa mengabaikan perlindungan data pribadi. Integrasi proses tersebut memperkuat efisiensi, akurasi, dan kecepatan pelayanan kepada donatur [11].</w:t>
      </w:r>
    </w:p>
    <w:p w14:paraId="204BD5AD" w14:textId="77777777" w:rsidR="00940D6E" w:rsidRPr="00F24B53" w:rsidRDefault="00831910" w:rsidP="00F24B53">
      <w:pPr>
        <w:spacing w:after="120"/>
        <w:jc w:val="both"/>
      </w:pPr>
      <w:r w:rsidRPr="00F24B53">
        <w:t>Kampanye digital yang efektif memerlukan narasi program yang konkret. Lembaga perlu menjelaskan masalah, sasaran penerima manfaat, jumlah kebutuhan, periode pelaksanaan, dan indikator keberhasilan. Dokumentasi visual dapat memperjelas konteks, namun harus menjaga martabat penerima manfaat dan tidak mengeksploitasi kondisi mereka. Setelah kampanye selesai, hasil perlu dilaporkan dalam bentuk yang mudah dipahami, misalnya jumlah penerima, kegiatan yang terlaksana, aset yang dibangun, dan sisa dana. Pola komunikasi sebelum, selama, dan setelah kampanye membantu menumbuhkan kepercayaan serta membedakan fundraising profesional dari permintaan dana yang bersifat insidental.</w:t>
      </w:r>
    </w:p>
    <w:p w14:paraId="18510513" w14:textId="77777777" w:rsidR="00940D6E" w:rsidRPr="00F24B53" w:rsidRDefault="00831910" w:rsidP="00F24B53">
      <w:pPr>
        <w:spacing w:after="120"/>
        <w:jc w:val="both"/>
      </w:pPr>
      <w:r w:rsidRPr="00F24B53">
        <w:t>Basis data donatur menjadi aset kelembagaan yang penting karena menyimpan riwayat kontribusi, minat program, saluran komunikasi, dan tindak lanjut. Pengelola dapat menggunakan data tersebut untuk mengirim laporan yang relevan, mengidentifikasi donatur yang tidak lagi aktif, dan merencanakan kampanye berikutnya. Akses terhadap basis data harus dibatasi sesuai tugas, dilindungi dengan kata sandi, dan dicadangkan secara berkala. Lembaga juga perlu memperoleh persetujuan ketika menggunakan informasi kontak untuk komunikasi. Tata kelola data yang baik memperkuat efisiensi fundraising sekaligus menjaga kepercayaan dan privasi donatur.</w:t>
      </w:r>
    </w:p>
    <w:p w14:paraId="773C585B" w14:textId="77777777" w:rsidR="00940D6E" w:rsidRPr="00F24B53" w:rsidRDefault="00831910" w:rsidP="00F24B53">
      <w:pPr>
        <w:spacing w:after="120"/>
        <w:jc w:val="both"/>
      </w:pPr>
      <w:r w:rsidRPr="00F24B53">
        <w:lastRenderedPageBreak/>
        <w:t>Akuntabilitas fundraising membutuhkan laporan keuangan dan laporan program. Laporan keuangan menjelaskan penerimaan, penggunaan, saldo, dan biaya penghimpunan, sedangkan laporan program menunjukkan manfaat yang dihasilkan. Keduanya harus konsisten agar donatur dapat menelusuri hubungan antara dana dan kegiatan. Audit atau pemeriksaan berkala dapat dilakukan sesuai skala lembaga, mulai dari verifikasi internal hingga pemeriksaan independen. Publikasi tidak harus membuka seluruh rincian sensitif, tetapi perlu memberikan informasi yang cukup untuk menunjukkan bahwa dana dikelola sesuai amanah. Prinsip ini sejalan dengan penerapan good governance pada lembaga pesantren [12].</w:t>
      </w:r>
    </w:p>
    <w:p w14:paraId="61168C93" w14:textId="77777777" w:rsidR="00940D6E" w:rsidRPr="00F24B53" w:rsidRDefault="00831910" w:rsidP="00F24B53">
      <w:pPr>
        <w:spacing w:after="120"/>
        <w:jc w:val="both"/>
      </w:pPr>
      <w:r w:rsidRPr="00F24B53">
        <w:t>Unit fundraising profesional memerlukan pembagian fungsi yang jelas, misalnya perencanaan program, komunikasi, pengelolaan donatur, administrasi keuangan, dan evaluasi. Pada lembaga kecil, satu orang dapat menjalankan beberapa fungsi, tetapi proses persetujuan dan pencatatan tetap perlu dipisahkan untuk mengurangi risiko. Target kinerja tidak hanya berupa jumlah dana, melainkan juga jumlah donatur aktif, tingkat donasi berulang, biaya penghimpunan, ketepatan laporan, dan kepuasan pemangku kepentingan. Indikator yang seimbang mencegah pengelola mengejar nominal tanpa memperhatikan kualitas relasi dan kepatuhan.</w:t>
      </w:r>
    </w:p>
    <w:p w14:paraId="391BC46F" w14:textId="77777777" w:rsidR="00940D6E" w:rsidRPr="00F24B53" w:rsidRDefault="00831910" w:rsidP="00F24B53">
      <w:pPr>
        <w:spacing w:after="120"/>
        <w:jc w:val="both"/>
      </w:pPr>
      <w:r w:rsidRPr="00F24B53">
        <w:t>Evaluasi periodik perlu membandingkan target dengan realisasi dan mengidentifikasi faktor yang memengaruhi hasil. Kampanye yang tidak mencapai target belum tentu gagal apabila berhasil memperluas jaringan atau membangun basis data baru. Sebaliknya, penghimpunan besar dapat menyimpan risiko apabila biaya tinggi atau pelaporan terlambat. Evaluasi juga perlu menilai kesesuaian program dengan misi pendidikan serta kemampuan lembaga menjalankan amanah yang telah ditawarkan. Hasil evaluasi menjadi dasar penyempurnaan strategi, bukan sekadar laporan administratif [13].</w:t>
      </w:r>
    </w:p>
    <w:p w14:paraId="794BB8C7" w14:textId="77777777" w:rsidR="002A2923" w:rsidRPr="00F24B53" w:rsidRDefault="00831910" w:rsidP="00F24B53">
      <w:pPr>
        <w:keepNext/>
        <w:spacing w:before="140" w:after="100"/>
        <w:rPr>
          <w:b/>
          <w:bCs/>
        </w:rPr>
      </w:pPr>
      <w:r w:rsidRPr="00F24B53">
        <w:rPr>
          <w:b/>
          <w:bCs/>
        </w:rPr>
        <w:t>3.3 Pengembangan Bidang Usaha Lembaga Pendidikan Islam</w:t>
      </w:r>
    </w:p>
    <w:p w14:paraId="68FC9E0E" w14:textId="77777777" w:rsidR="002A2923" w:rsidRDefault="00831910" w:rsidP="00F24B53">
      <w:pPr>
        <w:spacing w:after="120"/>
        <w:jc w:val="both"/>
      </w:pPr>
      <w:r>
        <w:t>Pengembangan bidang usaha merupakan strategi pembiayaan internal yang menjadikan lembaga pendidikan Islam sebagai entitas yang produktif secara ekonomi. Unit usaha pesantren hadir dalam beragam bentuk: koperasi pesantren (</w:t>
      </w:r>
      <w:r>
        <w:rPr>
          <w:i/>
          <w:iCs/>
        </w:rPr>
        <w:t>kopontren</w:t>
      </w:r>
      <w:r>
        <w:t xml:space="preserve">), minimarket dan toko kebutuhan santri, kantin, jasa </w:t>
      </w:r>
      <w:r>
        <w:rPr>
          <w:i/>
          <w:iCs/>
        </w:rPr>
        <w:t>laundry</w:t>
      </w:r>
      <w:r>
        <w:t xml:space="preserve">, percetakan, </w:t>
      </w:r>
      <w:r>
        <w:rPr>
          <w:i/>
          <w:iCs/>
        </w:rPr>
        <w:t>travel</w:t>
      </w:r>
      <w:r>
        <w:t>, peternakan, pertanian dan agribisnis, air minum dalam kemasan, hingga unit jasa keuangan syariah [7]. Keberadaan unit usaha memberikan dua manfaat sekaligus: sebagai sumber pendapatan lembaga dan sebagai wahana pendidikan kewirausahaan (</w:t>
      </w:r>
      <w:r>
        <w:rPr>
          <w:i/>
          <w:iCs/>
        </w:rPr>
        <w:t>santripreneurship</w:t>
      </w:r>
      <w:r>
        <w:t>) bagi santri [14]. Ragam unit usaha pesantren beserta fungsinya dirangkum pada Tabel 2.</w:t>
      </w:r>
    </w:p>
    <w:p w14:paraId="3E48715A" w14:textId="77777777" w:rsidR="002A2923" w:rsidRDefault="00831910" w:rsidP="00F24B53">
      <w:pPr>
        <w:keepNext/>
        <w:spacing w:before="120" w:after="60"/>
        <w:jc w:val="center"/>
      </w:pPr>
      <w:r>
        <w:rPr>
          <w:sz w:val="16"/>
          <w:szCs w:val="16"/>
        </w:rPr>
        <w:t>Tabel 2. Ragam unit usaha pesantren dan fungsinya</w:t>
      </w:r>
    </w:p>
    <w:tbl>
      <w:tblPr>
        <w:tblW w:w="9070" w:type="dxa"/>
        <w:tblBorders>
          <w:top w:val="single" w:sz="4" w:space="0" w:color="000000"/>
          <w:bottom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0"/>
        <w:gridCol w:w="2350"/>
        <w:gridCol w:w="3450"/>
        <w:gridCol w:w="2750"/>
      </w:tblGrid>
      <w:tr w:rsidR="002A2923" w14:paraId="6639F1CE" w14:textId="77777777">
        <w:trPr>
          <w:tblHeader/>
        </w:trPr>
        <w:tc>
          <w:tcPr>
            <w:tcW w:w="520" w:type="dxa"/>
            <w:tcBorders>
              <w:bottom w:val="single" w:sz="4" w:space="0" w:color="000000"/>
            </w:tcBorders>
            <w:tcMar>
              <w:top w:w="40" w:type="dxa"/>
              <w:left w:w="80" w:type="dxa"/>
              <w:bottom w:w="40" w:type="dxa"/>
              <w:right w:w="80" w:type="dxa"/>
            </w:tcMar>
          </w:tcPr>
          <w:p w14:paraId="7C31639B" w14:textId="77777777" w:rsidR="002A2923" w:rsidRDefault="00831910" w:rsidP="00F24B53">
            <w:r>
              <w:rPr>
                <w:b/>
                <w:bCs/>
                <w:sz w:val="16"/>
                <w:szCs w:val="16"/>
              </w:rPr>
              <w:t>No</w:t>
            </w:r>
          </w:p>
        </w:tc>
        <w:tc>
          <w:tcPr>
            <w:tcW w:w="2350" w:type="dxa"/>
            <w:tcBorders>
              <w:bottom w:val="single" w:sz="4" w:space="0" w:color="000000"/>
            </w:tcBorders>
            <w:tcMar>
              <w:top w:w="40" w:type="dxa"/>
              <w:left w:w="80" w:type="dxa"/>
              <w:bottom w:w="40" w:type="dxa"/>
              <w:right w:w="80" w:type="dxa"/>
            </w:tcMar>
          </w:tcPr>
          <w:p w14:paraId="0DC73051" w14:textId="77777777" w:rsidR="002A2923" w:rsidRDefault="00831910" w:rsidP="00F24B53">
            <w:r>
              <w:rPr>
                <w:b/>
                <w:bCs/>
                <w:sz w:val="16"/>
                <w:szCs w:val="16"/>
              </w:rPr>
              <w:t>Kelompok Unit Usaha</w:t>
            </w:r>
          </w:p>
        </w:tc>
        <w:tc>
          <w:tcPr>
            <w:tcW w:w="3450" w:type="dxa"/>
            <w:tcBorders>
              <w:bottom w:val="single" w:sz="4" w:space="0" w:color="000000"/>
            </w:tcBorders>
            <w:tcMar>
              <w:top w:w="40" w:type="dxa"/>
              <w:left w:w="80" w:type="dxa"/>
              <w:bottom w:w="40" w:type="dxa"/>
              <w:right w:w="80" w:type="dxa"/>
            </w:tcMar>
          </w:tcPr>
          <w:p w14:paraId="2D954268" w14:textId="77777777" w:rsidR="002A2923" w:rsidRDefault="00831910" w:rsidP="00F24B53">
            <w:r>
              <w:rPr>
                <w:b/>
                <w:bCs/>
                <w:sz w:val="16"/>
                <w:szCs w:val="16"/>
              </w:rPr>
              <w:t>Contoh</w:t>
            </w:r>
          </w:p>
        </w:tc>
        <w:tc>
          <w:tcPr>
            <w:tcW w:w="2750" w:type="dxa"/>
            <w:tcBorders>
              <w:bottom w:val="single" w:sz="4" w:space="0" w:color="000000"/>
            </w:tcBorders>
            <w:tcMar>
              <w:top w:w="40" w:type="dxa"/>
              <w:left w:w="80" w:type="dxa"/>
              <w:bottom w:w="40" w:type="dxa"/>
              <w:right w:w="80" w:type="dxa"/>
            </w:tcMar>
          </w:tcPr>
          <w:p w14:paraId="52216559" w14:textId="77777777" w:rsidR="002A2923" w:rsidRDefault="00831910" w:rsidP="00F24B53">
            <w:r>
              <w:rPr>
                <w:b/>
                <w:bCs/>
                <w:sz w:val="16"/>
                <w:szCs w:val="16"/>
              </w:rPr>
              <w:t>Fungsi Utama</w:t>
            </w:r>
          </w:p>
        </w:tc>
      </w:tr>
      <w:tr w:rsidR="002A2923" w14:paraId="02E3BFF9" w14:textId="77777777">
        <w:tc>
          <w:tcPr>
            <w:tcW w:w="520" w:type="dxa"/>
            <w:tcMar>
              <w:top w:w="30" w:type="dxa"/>
              <w:left w:w="80" w:type="dxa"/>
              <w:bottom w:w="30" w:type="dxa"/>
              <w:right w:w="80" w:type="dxa"/>
            </w:tcMar>
          </w:tcPr>
          <w:p w14:paraId="57FE49F2" w14:textId="77777777" w:rsidR="002A2923" w:rsidRDefault="00831910" w:rsidP="00F24B53">
            <w:pPr>
              <w:jc w:val="center"/>
            </w:pPr>
            <w:r>
              <w:rPr>
                <w:sz w:val="16"/>
                <w:szCs w:val="16"/>
              </w:rPr>
              <w:t>1</w:t>
            </w:r>
          </w:p>
        </w:tc>
        <w:tc>
          <w:tcPr>
            <w:tcW w:w="2350" w:type="dxa"/>
            <w:tcMar>
              <w:top w:w="30" w:type="dxa"/>
              <w:left w:w="80" w:type="dxa"/>
              <w:bottom w:w="30" w:type="dxa"/>
              <w:right w:w="80" w:type="dxa"/>
            </w:tcMar>
          </w:tcPr>
          <w:p w14:paraId="5167A826" w14:textId="77777777" w:rsidR="002A2923" w:rsidRDefault="00831910" w:rsidP="00F24B53">
            <w:r>
              <w:rPr>
                <w:sz w:val="16"/>
                <w:szCs w:val="16"/>
              </w:rPr>
              <w:t>Perdagangan dan ritel</w:t>
            </w:r>
          </w:p>
        </w:tc>
        <w:tc>
          <w:tcPr>
            <w:tcW w:w="3450" w:type="dxa"/>
            <w:tcMar>
              <w:top w:w="30" w:type="dxa"/>
              <w:left w:w="80" w:type="dxa"/>
              <w:bottom w:w="30" w:type="dxa"/>
              <w:right w:w="80" w:type="dxa"/>
            </w:tcMar>
          </w:tcPr>
          <w:p w14:paraId="10AA8E7A" w14:textId="77777777" w:rsidR="002A2923" w:rsidRDefault="00831910" w:rsidP="00F24B53">
            <w:r>
              <w:rPr>
                <w:sz w:val="16"/>
                <w:szCs w:val="16"/>
              </w:rPr>
              <w:t>Koperasi pesantren (kopontren), minimarket, toko kebutuhan santri</w:t>
            </w:r>
          </w:p>
        </w:tc>
        <w:tc>
          <w:tcPr>
            <w:tcW w:w="2750" w:type="dxa"/>
            <w:tcMar>
              <w:top w:w="30" w:type="dxa"/>
              <w:left w:w="80" w:type="dxa"/>
              <w:bottom w:w="30" w:type="dxa"/>
              <w:right w:w="80" w:type="dxa"/>
            </w:tcMar>
          </w:tcPr>
          <w:p w14:paraId="7A289B89" w14:textId="77777777" w:rsidR="002A2923" w:rsidRDefault="00831910" w:rsidP="00F24B53">
            <w:r>
              <w:rPr>
                <w:sz w:val="16"/>
                <w:szCs w:val="16"/>
              </w:rPr>
              <w:t>Sumber pendapatan dan pemenuhan kebutuhan internal</w:t>
            </w:r>
          </w:p>
        </w:tc>
      </w:tr>
      <w:tr w:rsidR="002A2923" w14:paraId="0C7BFF93" w14:textId="77777777">
        <w:tc>
          <w:tcPr>
            <w:tcW w:w="520" w:type="dxa"/>
            <w:tcMar>
              <w:top w:w="30" w:type="dxa"/>
              <w:left w:w="80" w:type="dxa"/>
              <w:bottom w:w="30" w:type="dxa"/>
              <w:right w:w="80" w:type="dxa"/>
            </w:tcMar>
          </w:tcPr>
          <w:p w14:paraId="764867D4" w14:textId="77777777" w:rsidR="002A2923" w:rsidRDefault="00831910" w:rsidP="00F24B53">
            <w:pPr>
              <w:jc w:val="center"/>
            </w:pPr>
            <w:r>
              <w:rPr>
                <w:sz w:val="16"/>
                <w:szCs w:val="16"/>
              </w:rPr>
              <w:t>2</w:t>
            </w:r>
          </w:p>
        </w:tc>
        <w:tc>
          <w:tcPr>
            <w:tcW w:w="2350" w:type="dxa"/>
            <w:tcMar>
              <w:top w:w="30" w:type="dxa"/>
              <w:left w:w="80" w:type="dxa"/>
              <w:bottom w:w="30" w:type="dxa"/>
              <w:right w:w="80" w:type="dxa"/>
            </w:tcMar>
          </w:tcPr>
          <w:p w14:paraId="52C42EF2" w14:textId="77777777" w:rsidR="002A2923" w:rsidRDefault="00831910" w:rsidP="00F24B53">
            <w:r>
              <w:rPr>
                <w:sz w:val="16"/>
                <w:szCs w:val="16"/>
              </w:rPr>
              <w:t>Jasa</w:t>
            </w:r>
          </w:p>
        </w:tc>
        <w:tc>
          <w:tcPr>
            <w:tcW w:w="3450" w:type="dxa"/>
            <w:tcMar>
              <w:top w:w="30" w:type="dxa"/>
              <w:left w:w="80" w:type="dxa"/>
              <w:bottom w:w="30" w:type="dxa"/>
              <w:right w:w="80" w:type="dxa"/>
            </w:tcMar>
          </w:tcPr>
          <w:p w14:paraId="4B49DF4B" w14:textId="77777777" w:rsidR="002A2923" w:rsidRDefault="00831910" w:rsidP="00F24B53">
            <w:r>
              <w:rPr>
                <w:sz w:val="16"/>
                <w:szCs w:val="16"/>
              </w:rPr>
              <w:t>Laundry, percetakan, travel, unit jasa keuangan syariah</w:t>
            </w:r>
          </w:p>
        </w:tc>
        <w:tc>
          <w:tcPr>
            <w:tcW w:w="2750" w:type="dxa"/>
            <w:tcMar>
              <w:top w:w="30" w:type="dxa"/>
              <w:left w:w="80" w:type="dxa"/>
              <w:bottom w:w="30" w:type="dxa"/>
              <w:right w:w="80" w:type="dxa"/>
            </w:tcMar>
          </w:tcPr>
          <w:p w14:paraId="6C0810DE" w14:textId="77777777" w:rsidR="002A2923" w:rsidRDefault="00831910" w:rsidP="00F24B53">
            <w:r>
              <w:rPr>
                <w:sz w:val="16"/>
                <w:szCs w:val="16"/>
              </w:rPr>
              <w:t>Sumber pendapatan dan layanan komunitas</w:t>
            </w:r>
          </w:p>
        </w:tc>
      </w:tr>
      <w:tr w:rsidR="002A2923" w14:paraId="46E5F8C4" w14:textId="77777777">
        <w:tc>
          <w:tcPr>
            <w:tcW w:w="520" w:type="dxa"/>
            <w:tcMar>
              <w:top w:w="30" w:type="dxa"/>
              <w:left w:w="80" w:type="dxa"/>
              <w:bottom w:w="30" w:type="dxa"/>
              <w:right w:w="80" w:type="dxa"/>
            </w:tcMar>
          </w:tcPr>
          <w:p w14:paraId="0C0865AD" w14:textId="77777777" w:rsidR="002A2923" w:rsidRDefault="00831910" w:rsidP="00F24B53">
            <w:pPr>
              <w:jc w:val="center"/>
            </w:pPr>
            <w:r>
              <w:rPr>
                <w:sz w:val="16"/>
                <w:szCs w:val="16"/>
              </w:rPr>
              <w:t>3</w:t>
            </w:r>
          </w:p>
        </w:tc>
        <w:tc>
          <w:tcPr>
            <w:tcW w:w="2350" w:type="dxa"/>
            <w:tcMar>
              <w:top w:w="30" w:type="dxa"/>
              <w:left w:w="80" w:type="dxa"/>
              <w:bottom w:w="30" w:type="dxa"/>
              <w:right w:w="80" w:type="dxa"/>
            </w:tcMar>
          </w:tcPr>
          <w:p w14:paraId="393144F6" w14:textId="77777777" w:rsidR="002A2923" w:rsidRDefault="00831910" w:rsidP="00F24B53">
            <w:r>
              <w:rPr>
                <w:sz w:val="16"/>
                <w:szCs w:val="16"/>
              </w:rPr>
              <w:t>Agribisnis dan peternakan</w:t>
            </w:r>
          </w:p>
        </w:tc>
        <w:tc>
          <w:tcPr>
            <w:tcW w:w="3450" w:type="dxa"/>
            <w:tcMar>
              <w:top w:w="30" w:type="dxa"/>
              <w:left w:w="80" w:type="dxa"/>
              <w:bottom w:w="30" w:type="dxa"/>
              <w:right w:w="80" w:type="dxa"/>
            </w:tcMar>
          </w:tcPr>
          <w:p w14:paraId="322F642A" w14:textId="77777777" w:rsidR="002A2923" w:rsidRDefault="00831910" w:rsidP="00F24B53">
            <w:r>
              <w:rPr>
                <w:sz w:val="16"/>
                <w:szCs w:val="16"/>
              </w:rPr>
              <w:t>Pertanian, peternakan, air minum dalam kemasan</w:t>
            </w:r>
          </w:p>
        </w:tc>
        <w:tc>
          <w:tcPr>
            <w:tcW w:w="2750" w:type="dxa"/>
            <w:tcMar>
              <w:top w:w="30" w:type="dxa"/>
              <w:left w:w="80" w:type="dxa"/>
              <w:bottom w:w="30" w:type="dxa"/>
              <w:right w:w="80" w:type="dxa"/>
            </w:tcMar>
          </w:tcPr>
          <w:p w14:paraId="5F226E15" w14:textId="77777777" w:rsidR="002A2923" w:rsidRDefault="00831910" w:rsidP="00F24B53">
            <w:r>
              <w:rPr>
                <w:sz w:val="16"/>
                <w:szCs w:val="16"/>
              </w:rPr>
              <w:t>Sumber pendapatan dan ketahanan pangan</w:t>
            </w:r>
          </w:p>
        </w:tc>
      </w:tr>
      <w:tr w:rsidR="002A2923" w14:paraId="0FEE3EE0" w14:textId="77777777">
        <w:tc>
          <w:tcPr>
            <w:tcW w:w="520" w:type="dxa"/>
            <w:tcMar>
              <w:top w:w="30" w:type="dxa"/>
              <w:left w:w="80" w:type="dxa"/>
              <w:bottom w:w="30" w:type="dxa"/>
              <w:right w:w="80" w:type="dxa"/>
            </w:tcMar>
          </w:tcPr>
          <w:p w14:paraId="7F854892" w14:textId="77777777" w:rsidR="002A2923" w:rsidRDefault="00831910" w:rsidP="00F24B53">
            <w:pPr>
              <w:jc w:val="center"/>
            </w:pPr>
            <w:r>
              <w:rPr>
                <w:sz w:val="16"/>
                <w:szCs w:val="16"/>
              </w:rPr>
              <w:t>4</w:t>
            </w:r>
          </w:p>
        </w:tc>
        <w:tc>
          <w:tcPr>
            <w:tcW w:w="2350" w:type="dxa"/>
            <w:tcMar>
              <w:top w:w="30" w:type="dxa"/>
              <w:left w:w="80" w:type="dxa"/>
              <w:bottom w:w="30" w:type="dxa"/>
              <w:right w:w="80" w:type="dxa"/>
            </w:tcMar>
          </w:tcPr>
          <w:p w14:paraId="373E1348" w14:textId="77777777" w:rsidR="002A2923" w:rsidRDefault="00831910" w:rsidP="00F24B53">
            <w:r>
              <w:rPr>
                <w:sz w:val="16"/>
                <w:szCs w:val="16"/>
              </w:rPr>
              <w:t>Pendidikan kewirausahaan</w:t>
            </w:r>
          </w:p>
        </w:tc>
        <w:tc>
          <w:tcPr>
            <w:tcW w:w="3450" w:type="dxa"/>
            <w:tcMar>
              <w:top w:w="30" w:type="dxa"/>
              <w:left w:w="80" w:type="dxa"/>
              <w:bottom w:w="30" w:type="dxa"/>
              <w:right w:w="80" w:type="dxa"/>
            </w:tcMar>
          </w:tcPr>
          <w:p w14:paraId="63768FF0" w14:textId="77777777" w:rsidR="002A2923" w:rsidRDefault="00831910" w:rsidP="00F24B53">
            <w:r>
              <w:rPr>
                <w:sz w:val="16"/>
                <w:szCs w:val="16"/>
              </w:rPr>
              <w:t>Inkubator dan praktik usaha santri (santripreneurship)</w:t>
            </w:r>
          </w:p>
        </w:tc>
        <w:tc>
          <w:tcPr>
            <w:tcW w:w="2750" w:type="dxa"/>
            <w:tcMar>
              <w:top w:w="30" w:type="dxa"/>
              <w:left w:w="80" w:type="dxa"/>
              <w:bottom w:w="30" w:type="dxa"/>
              <w:right w:w="80" w:type="dxa"/>
            </w:tcMar>
          </w:tcPr>
          <w:p w14:paraId="567CE1C6" w14:textId="77777777" w:rsidR="002A2923" w:rsidRDefault="00831910" w:rsidP="00F24B53">
            <w:r>
              <w:rPr>
                <w:sz w:val="16"/>
                <w:szCs w:val="16"/>
              </w:rPr>
              <w:t>Laboratorium kewirausahaan santri</w:t>
            </w:r>
          </w:p>
        </w:tc>
      </w:tr>
    </w:tbl>
    <w:p w14:paraId="41EED7F7" w14:textId="77777777" w:rsidR="002A2923" w:rsidRDefault="002A2923" w:rsidP="00F24B53">
      <w:pPr>
        <w:spacing w:after="80"/>
      </w:pPr>
    </w:p>
    <w:p w14:paraId="02DFE83D" w14:textId="77777777" w:rsidR="002A2923" w:rsidRDefault="00831910" w:rsidP="00F24B53">
      <w:pPr>
        <w:spacing w:after="120"/>
        <w:jc w:val="both"/>
      </w:pPr>
      <w:r>
        <w:t>Bukti empiris menunjukkan kontribusi nyata unit usaha terhadap kemandirian lembaga. Studi Mi’raj dkk. [8] terhadap kemandirian ekonomi pesantren menemukan bahwa pesantren yang mengelola unit usaha secara serius mampu membiayai sebagian besar kebutuhan operasionalnya tanpa bergantung pada pihak eksternal. Kasus Pondok Pesantren Bahrul ‘Ulum Tambakberas Jombang memperlihatkan bahwa pemberdayaan ekonomi pesantren melalui beragam unit usaha mendorong kemandirian ekonomi lembaga sekaligus memberdayakan masyarakat sekitar [9]. Demikian pula Pondok Modern Darussalam Gontor yang menerapkan konsep kewirausahaan sosial Islam: seluruh laba unit usaha dikembalikan untuk kepentingan pendidikan, bukan untuk kepentingan pribadi pengelola [5].</w:t>
      </w:r>
    </w:p>
    <w:p w14:paraId="62DD26E7" w14:textId="77777777" w:rsidR="002A2923" w:rsidRDefault="00831910" w:rsidP="00F24B53">
      <w:pPr>
        <w:spacing w:after="120"/>
        <w:jc w:val="both"/>
      </w:pPr>
      <w:r>
        <w:t>Keberhasilan pengembangan usaha pesantren ditopang oleh beberapa faktor. Pertama, kepemimpinan. Gaya kepemimpinan spiritual kiai yang visioner terbukti mampu menggerakkan kemandirian unit usaha pesantren [15], [16]. Kedua, kelembagaan dan tata kelola. Unit usaha perlu dipisahkan pengelolaannya dari kas pendidikan, memiliki struktur organisasi, pencatatan keuangan yang tertib, dan mekanisme pertanggungjawaban yang jelas [12]. Ketiga, kapasitas sumber daya manusia. Pelibatan santri, alumni, dan masyarakat dalam pengelolaan usaha menumbuhkan kapasitas kelembagaan berbasis kewirausahaan [17]. Keempat, adaptasi teknologi. Digitalisasi unit usaha—mulai dari pemasaran daring, sistem kasir digital, hingga pembayaran nontunai—memperkuat daya saing usaha pesantren di era ekonomi digital [11].</w:t>
      </w:r>
    </w:p>
    <w:p w14:paraId="592A5558" w14:textId="77777777" w:rsidR="002A2923" w:rsidRDefault="00831910" w:rsidP="00F24B53">
      <w:pPr>
        <w:spacing w:after="120"/>
        <w:jc w:val="both"/>
      </w:pPr>
      <w:r>
        <w:lastRenderedPageBreak/>
        <w:t>Kendati demikian, literatur juga mencatat sejumlah tantangan: keterbatasan modal awal, lemahnya literasi manajemen bisnis pengelola, ketergantungan pada figur kiai, potensi konflik kepentingan antara fungsi pendidikan dan fungsi bisnis, serta belum tertibnya pemisahan laporan keuangan usaha dari keuangan lembaga [18], [19]. Tantangan-tantangan ini menegaskan pentingnya profesionalisasi manajemen sebagai prasyarat keberlanjutan usaha pesantren.</w:t>
      </w:r>
    </w:p>
    <w:p w14:paraId="4818F140" w14:textId="77777777" w:rsidR="00940D6E" w:rsidRPr="00F24B53" w:rsidRDefault="00831910" w:rsidP="00F24B53">
      <w:pPr>
        <w:spacing w:after="120"/>
        <w:jc w:val="both"/>
      </w:pPr>
      <w:r w:rsidRPr="00F24B53">
        <w:t>Pemilihan unit usaha pesantren sebaiknya didasarkan pada kebutuhan internal, potensi pasar, kompetensi pengelola, ketersediaan bahan baku, dan tingkat risiko. Usaha yang melayani kebutuhan santri, seperti koperasi, kantin, laundry, atau percetakan, memiliki pasar awal yang relatif jelas. Agribisnis dapat dikembangkan ketika lembaga memiliki lahan dan sumber daya yang memadai. Namun, setiap peluang tetap memerlukan kajian sederhana mengenai biaya, permintaan, arus kas, perizinan, dan kemampuan operasional. Pendekatan ini mencegah lembaga membuka terlalu banyak unit usaha tanpa kesiapan pengelolaan [7], [19].</w:t>
      </w:r>
    </w:p>
    <w:p w14:paraId="7FEC0DBF" w14:textId="77777777" w:rsidR="00940D6E" w:rsidRPr="00F24B53" w:rsidRDefault="00831910" w:rsidP="00F24B53">
      <w:pPr>
        <w:spacing w:after="120"/>
        <w:jc w:val="both"/>
      </w:pPr>
      <w:r w:rsidRPr="00F24B53">
        <w:t>Unit usaha perlu memiliki model bisnis yang menjelaskan pelanggan, nilai yang ditawarkan, sumber pendapatan, biaya utama, mitra, dan proses operasional. Kejelasan model bisnis membantu pengurus membedakan kegiatan sosial dengan transaksi komersial. Sebagai contoh, koperasi pesantren dapat tetap memberikan harga wajar bagi santri sambil menghasilkan surplus melalui efisiensi pembelian dan perputaran stok. Surplus tidak harus dimaksimalkan dengan mengorbankan layanan, tetapi dikelola agar usaha bertahan, berkembang, dan berkontribusi kepada pendidikan. Prinsip ini sesuai dengan semangat kewirausahaan sosial Islam yang menempatkan manfaat kolektif sebagai tujuan [5].</w:t>
      </w:r>
    </w:p>
    <w:p w14:paraId="1DD84F00" w14:textId="77777777" w:rsidR="00940D6E" w:rsidRPr="00F24B53" w:rsidRDefault="00831910" w:rsidP="00F24B53">
      <w:pPr>
        <w:spacing w:after="120"/>
        <w:jc w:val="both"/>
      </w:pPr>
      <w:r w:rsidRPr="00F24B53">
        <w:t>Pemisahan keuangan merupakan syarat penting agar kinerja unit usaha dapat dinilai secara objektif. Modal, pendapatan, biaya, persediaan, utang, dan laba perlu dicatat terpisah dari kas pendidikan. Transaksi antara unit usaha dan lembaga juga harus terdokumentasi, misalnya ketika usaha membayar sewa aset atau menyerahkan bagian surplus. Tanpa pemisahan, pengelola sulit mengetahui apakah usaha benar-benar menghasilkan keuntungan atau hanya bertahan karena subsidi yang tidak terlihat. Pencatatan sederhana yang konsisten lebih bermanfaat daripada sistem rumit yang tidak dijalankan. Prinsip akuntabilitas ini mendukung tata kelola yang sehat [12].</w:t>
      </w:r>
    </w:p>
    <w:p w14:paraId="0E5B7B29" w14:textId="77777777" w:rsidR="00940D6E" w:rsidRPr="00F24B53" w:rsidRDefault="00831910" w:rsidP="00F24B53">
      <w:pPr>
        <w:spacing w:after="120"/>
        <w:jc w:val="both"/>
      </w:pPr>
      <w:r w:rsidRPr="00F24B53">
        <w:t>Struktur pengelolaan usaha perlu membedakan fungsi pemilik, pengawas, dan pelaksana. Yayasan atau pesantren menetapkan arah dan kebijakan, sedangkan manajer bertanggung jawab atas operasi harian. Pengawasan memastikan keputusan usaha sesuai misi lembaga dan tidak menimbulkan konflik kepentingan. Kiai dapat memberikan visi dan legitimasi, tetapi keputusan teknis perlu melibatkan orang yang memiliki kompetensi bisnis. Pembagian peran tersebut memungkinkan kepemimpinan spiritual tetap menjadi kekuatan sekaligus mendorong profesionalitas manajemen [15], [16].</w:t>
      </w:r>
    </w:p>
    <w:p w14:paraId="6690844C" w14:textId="77777777" w:rsidR="00940D6E" w:rsidRPr="00F24B53" w:rsidRDefault="00831910" w:rsidP="00F24B53">
      <w:pPr>
        <w:spacing w:after="120"/>
        <w:jc w:val="both"/>
      </w:pPr>
      <w:r w:rsidRPr="00F24B53">
        <w:t>Kapasitas sumber daya manusia menentukan keberlanjutan unit usaha. Pengelola membutuhkan kemampuan dasar dalam pemasaran, pencatatan keuangan, pengelolaan persediaan, pelayanan pelanggan, dan penggunaan teknologi. Pelatihan dapat dilakukan secara bertahap dengan melibatkan alumni, perguruan tinggi, lembaga keuangan syariah, atau mitra usaha. Santri dapat dilibatkan sebagai peserta pembelajaran melalui jadwal yang tidak mengganggu pendidikan. Keterlibatan tersebut perlu disertai pendampingan, standar kerja, dan evaluasi agar fungsi pendidikan kewirausahaan berjalan tanpa menjadikan santri sebagai tenaga kerja murah [14], [17].</w:t>
      </w:r>
    </w:p>
    <w:p w14:paraId="51303E7C" w14:textId="77777777" w:rsidR="00940D6E" w:rsidRPr="00F24B53" w:rsidRDefault="00831910" w:rsidP="00F24B53">
      <w:pPr>
        <w:spacing w:after="120"/>
        <w:jc w:val="both"/>
      </w:pPr>
      <w:r w:rsidRPr="00F24B53">
        <w:t>Pengembangan santripreneurship akan lebih bermakna apabila santri mengalami seluruh siklus usaha, mulai dari mengidentifikasi kebutuhan, menyusun rencana, memproduksi, memasarkan, melayani pelanggan, hingga mengevaluasi hasil. Proses tersebut dapat dihubungkan dengan pembelajaran agama, etika bisnis, dan tanggung jawab sosial. Santri belajar bahwa keuntungan harus diperoleh melalui transaksi yang jujur, kualitas yang baik, dan pemenuhan hak pihak lain. Dengan demikian, unit usaha menjadi laboratorium pembentukan kompetensi dan karakter, bukan hanya sumber pendapatan lembaga [14].</w:t>
      </w:r>
    </w:p>
    <w:p w14:paraId="42DA03F2" w14:textId="77777777" w:rsidR="00940D6E" w:rsidRPr="00F24B53" w:rsidRDefault="00831910" w:rsidP="00F24B53">
      <w:pPr>
        <w:spacing w:after="120"/>
        <w:jc w:val="both"/>
      </w:pPr>
      <w:r w:rsidRPr="00F24B53">
        <w:t>Digitalisasi usaha dapat meningkatkan efisiensi melalui sistem kasir, pencatatan stok, pembayaran nontunai, pemasaran daring, dan analisis penjualan. Namun, adopsi teknologi perlu disesuaikan dengan skala usaha dan kemampuan pengguna. Sistem sederhana yang digunakan secara konsisten lebih efektif daripada aplikasi mahal yang tidak terintegrasi. Data penjualan dapat membantu menentukan produk yang diminati, waktu permintaan tertinggi, dan tingkat persediaan. Pemasaran digital juga membuka akses pasar di luar lingkungan pesantren, terutama untuk produk makanan, kerajinan, atau jasa yang memiliki keunikan [11].</w:t>
      </w:r>
    </w:p>
    <w:p w14:paraId="40D64024" w14:textId="77777777" w:rsidR="00940D6E" w:rsidRPr="00F24B53" w:rsidRDefault="00831910" w:rsidP="00F24B53">
      <w:pPr>
        <w:spacing w:after="120"/>
        <w:jc w:val="both"/>
      </w:pPr>
      <w:r w:rsidRPr="00F24B53">
        <w:t>Setiap unit usaha menghadapi risiko pasar, operasional, keuangan, hukum, dan reputasi. Risiko pasar muncul ketika permintaan menurun, sedangkan risiko operasional berkaitan dengan kualitas, persediaan, dan ketergantungan pada personel tertentu. Risiko keuangan dapat berupa kekurangan kas atau piutang yang tidak tertagih. Pengelola perlu menetapkan batas kewenangan, prosedur pembelian, pemeriksaan kas, pengendalian stok, dan evaluasi kinerja. Risiko reputasi harus mendapat perhatian khusus karena kegagalan usaha dapat memengaruhi kepercayaan masyarakat terhadap lembaga pendidikan. Karena itu, pertumbuhan usaha perlu dilakukan secara bertahap dan terkendali.</w:t>
      </w:r>
    </w:p>
    <w:p w14:paraId="76678E20" w14:textId="77777777" w:rsidR="002A2923" w:rsidRPr="00F24B53" w:rsidRDefault="00831910" w:rsidP="00F24B53">
      <w:pPr>
        <w:keepNext/>
        <w:spacing w:before="140" w:after="100"/>
        <w:rPr>
          <w:b/>
          <w:bCs/>
        </w:rPr>
      </w:pPr>
      <w:r w:rsidRPr="00F24B53">
        <w:rPr>
          <w:b/>
          <w:bCs/>
        </w:rPr>
        <w:lastRenderedPageBreak/>
        <w:t>3.4 Integrasi Fundraising dan Pengembangan Usaha Menuju Kemandirian Lembaga</w:t>
      </w:r>
    </w:p>
    <w:p w14:paraId="7DC454C9" w14:textId="77777777" w:rsidR="002A2923" w:rsidRPr="00F24B53" w:rsidRDefault="00831910" w:rsidP="00F24B53">
      <w:pPr>
        <w:spacing w:after="120"/>
        <w:jc w:val="both"/>
      </w:pPr>
      <w:r w:rsidRPr="00F24B53">
        <w:t>Sintesis terhadap temuan-temuan di atas mengarah pada satu proposisi utama: kemandirian finansial lembaga pendidikan Islam paling potensial diwujudkan melalui integrasi fundraising sosial-keagamaan dan pengembangan usaha produktif dalam satu arsitektur tata kelola. Dalam model integratif ini, dana ZISWAF dan donasi diposisikan bukan semata untuk menutup biaya operasional, melainkan sebagian dialokasikan sebagai modal pengembangan aset produktif—misalnya wakaf produktif yang diwujudkan menjadi unit usaha. Surplus unit usaha kemudian mengalir kembali membiayai operasional pendidikan, beasiswa santri, dan kesejahteraan pendidik, sehingga tercipta siklus pembiayaan yang berkelanjutan [8], [5]. Model integratif tersebut divisualisasikan pada Gambar 1.</w:t>
      </w:r>
    </w:p>
    <w:p w14:paraId="6FF5AA43" w14:textId="77777777" w:rsidR="002A2923" w:rsidRDefault="00831910" w:rsidP="00F24B53">
      <w:pPr>
        <w:spacing w:before="120"/>
        <w:jc w:val="center"/>
      </w:pPr>
      <w:r>
        <w:rPr>
          <w:noProof/>
        </w:rPr>
        <w:drawing>
          <wp:inline distT="0" distB="0" distL="0" distR="0" wp14:anchorId="215C3A09" wp14:editId="6A2B20FE">
            <wp:extent cx="4095750" cy="2533650"/>
            <wp:effectExtent l="0" t="0" r="0" b="0"/>
            <wp:docPr id="693767883" name="Gambar1" descr="Model integrasi fundraising dan unit usaha" title="Model Integr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095750" cy="2533650"/>
                    </a:xfrm>
                    <a:prstGeom prst="rect">
                      <a:avLst/>
                    </a:prstGeom>
                  </pic:spPr>
                </pic:pic>
              </a:graphicData>
            </a:graphic>
          </wp:inline>
        </w:drawing>
      </w:r>
    </w:p>
    <w:p w14:paraId="3E91C74C" w14:textId="77777777" w:rsidR="002A2923" w:rsidRDefault="00831910" w:rsidP="00F24B53">
      <w:pPr>
        <w:spacing w:before="60" w:after="120"/>
        <w:jc w:val="center"/>
      </w:pPr>
      <w:r>
        <w:rPr>
          <w:sz w:val="16"/>
          <w:szCs w:val="16"/>
        </w:rPr>
        <w:t>Gambar 1. Model integrasi fundraising dan pengembangan usaha menuju kemandirian finansial lembaga pendidikan Islam</w:t>
      </w:r>
    </w:p>
    <w:p w14:paraId="79978B4B" w14:textId="77777777" w:rsidR="002A2923" w:rsidRDefault="00831910" w:rsidP="00F24B53">
      <w:pPr>
        <w:spacing w:after="120"/>
        <w:jc w:val="both"/>
      </w:pPr>
      <w:r>
        <w:t xml:space="preserve">Model integratif tersebut menuntut empat prasyarat manajerial. Pertama, perencanaan strategis terpadu yang menempatkan target </w:t>
      </w:r>
      <w:r>
        <w:rPr>
          <w:i/>
          <w:iCs/>
        </w:rPr>
        <w:t>fundraising</w:t>
      </w:r>
      <w:r>
        <w:t xml:space="preserve"> dan target usaha dalam satu peta jalan kemandirian lembaga [13]. Kedua, pemisahan dan profesionalisasi kelembagaan: unit </w:t>
      </w:r>
      <w:r>
        <w:rPr>
          <w:i/>
          <w:iCs/>
        </w:rPr>
        <w:t>fundraising</w:t>
      </w:r>
      <w:r>
        <w:t xml:space="preserve"> dan badan usaha milik pesantren dikelola oleh organ tersendiri dengan indikator kinerja yang terukur. Ketiga, akuntabilitas terpadu melalui sistem pelaporan keuangan yang memenuhi standar dan dipublikasikan kepada pemangku kepentingan, karena kepercayaan donatur dan kepercayaan konsumen usaha sama-sama bertumpu pada transparansi [12]. Keempat, penguatan kapasitas SDM melalui pendidikan kewirausahaan santri dan pelatihan manajemen bagi pengelola, sehingga keberlanjutan tidak bergantung pada satu figur [17], [14].</w:t>
      </w:r>
    </w:p>
    <w:p w14:paraId="45C7B089" w14:textId="77777777" w:rsidR="002A2923" w:rsidRPr="00F24B53" w:rsidRDefault="00831910" w:rsidP="00F24B53">
      <w:pPr>
        <w:spacing w:after="120"/>
        <w:jc w:val="both"/>
      </w:pPr>
      <w:r>
        <w:t xml:space="preserve">Dengan kerangka tersebut, lembaga pendidikan Islam dapat bergerak dari posisi sebagai penerima dana pasif menjadi pengelola sumber daya yang aktif. Regulasi nasional—khususnya Peraturan Presiden Nomor 82 Tahun 2021—dapat dimanfaatkan sebagai dukungan komplementer, sementara fondasi kemandirian dibangun dari dalam melalui </w:t>
      </w:r>
      <w:r>
        <w:rPr>
          <w:i/>
          <w:iCs/>
        </w:rPr>
        <w:t>fundraising</w:t>
      </w:r>
      <w:r>
        <w:t xml:space="preserve"> yang amanah dan usaha yang produktif. Pada titik inilah manajemen pendidikan Islam menemukan relevansinya: bukan hanya mengelola pembelajaran, tetapi juga mengelola keberlanjutan finansial </w:t>
      </w:r>
      <w:r w:rsidRPr="00F24B53">
        <w:t>lembaga sebagai amanah umat.</w:t>
      </w:r>
    </w:p>
    <w:p w14:paraId="18CC4E04" w14:textId="77777777" w:rsidR="00940D6E" w:rsidRPr="00F24B53" w:rsidRDefault="00831910" w:rsidP="00F24B53">
      <w:pPr>
        <w:spacing w:after="120"/>
        <w:jc w:val="both"/>
      </w:pPr>
      <w:r w:rsidRPr="00F24B53">
        <w:t>Integrasi fundraising dan pengembangan usaha memerlukan arsitektur pembiayaan yang membedakan dana konsumtif, dana program, dana cadangan, dan dana produktif. Donasi yang terikat harus digunakan sesuai tujuan pemberi, sedangkan dana yang memang diamanahkan untuk pemberdayaan dapat dialokasikan sebagai modal usaha atau aset produktif. Surplus usaha kemudian dibagi untuk pengembangan usaha, cadangan risiko, dan kontribusi bagi pendidikan. Pembagian tersebut perlu ditetapkan sejak awal agar kebutuhan operasional tidak menghabiskan modal dan pengelola usaha tidak menahan seluruh surplus tanpa kontribusi kepada misi lembaga.</w:t>
      </w:r>
    </w:p>
    <w:p w14:paraId="70D9A58C" w14:textId="77777777" w:rsidR="00940D6E" w:rsidRPr="00F24B53" w:rsidRDefault="00831910" w:rsidP="00F24B53">
      <w:pPr>
        <w:spacing w:after="120"/>
        <w:jc w:val="both"/>
      </w:pPr>
      <w:r w:rsidRPr="00F24B53">
        <w:t>Wakaf produktif dapat menjadi penghubung yang kuat antara filantropi dan kegiatan ekonomi. Aset wakaf dapat dikelola untuk menghasilkan manfaat berulang, selama pokok aset dijaga dan penggunaannya sesuai tujuan wakaf. Bentuknya dapat berupa lahan pertanian, bangunan sewa, fasilitas produksi, atau penyertaan pada kegiatan yang dikelola secara hati-hati. Pengembangan model ini membutuhkan kompetensi nazir, studi kelayakan, pengawasan, dan pelaporan. Tanpa kapasitas tersebut, wakaf produktif berisiko menjadi aset tidak produktif atau menimbulkan masalah pengelolaan. Oleh karena itu, integrasi harus dibangun di atas prinsip kehati-hatian dan kepatuhan syariah [6], [8].</w:t>
      </w:r>
    </w:p>
    <w:p w14:paraId="68B0F19B" w14:textId="77777777" w:rsidR="00940D6E" w:rsidRPr="00F24B53" w:rsidRDefault="00831910" w:rsidP="00F24B53">
      <w:pPr>
        <w:spacing w:after="120"/>
        <w:jc w:val="both"/>
      </w:pPr>
      <w:r w:rsidRPr="00F24B53">
        <w:t xml:space="preserve">Pemisahan kelembagaan tidak berarti memutus hubungan antara unit fundraising dan badan usaha. Keduanya perlu berkoordinasi melalui rencana strategis, tetapi memiliki rekening, pencatatan, kewenangan, dan indikator kinerja </w:t>
      </w:r>
      <w:r w:rsidRPr="00F24B53">
        <w:lastRenderedPageBreak/>
        <w:t>yang jelas. Unit fundraising bertanggung jawab terhadap amanah donatur dan capaian program, sedangkan badan usaha bertanggung jawab terhadap keberlanjutan operasi dan hasil ekonomi. Forum koordinasi dapat menetapkan prioritas investasi, penggunaan surplus, serta kebutuhan program pendidikan. Tata kelola ini mencegah pencampuran fungsi dan memudahkan evaluasi kontribusi masing-masing unit.</w:t>
      </w:r>
    </w:p>
    <w:p w14:paraId="6731A9FD" w14:textId="77777777" w:rsidR="00940D6E" w:rsidRPr="00F24B53" w:rsidRDefault="00831910" w:rsidP="00F24B53">
      <w:pPr>
        <w:spacing w:after="120"/>
        <w:jc w:val="both"/>
      </w:pPr>
      <w:r w:rsidRPr="00F24B53">
        <w:t>Peta jalan kemandirian dapat disusun dalam beberapa tahap. Tahap awal berfokus pada pembenahan pencatatan, pemetaan donatur, dan konsolidasi unit usaha yang sudah ada. Tahap berikutnya memperkuat kelembagaan, kompetensi SDM, serta digitalisasi proses. Setelah fondasi stabil, lembaga dapat mengembangkan dana abadi, wakaf produktif, atau unit usaha baru berdasarkan studi kelayakan. Pendekatan bertahap membantu lembaga menghindari ekspansi yang terlalu cepat dan memastikan setiap perubahan dapat dipelajari. Perencanaan semacam ini sejalan dengan kebutuhan analisis kinerja dalam pengembangan pesantren [13].</w:t>
      </w:r>
    </w:p>
    <w:p w14:paraId="77533137" w14:textId="77777777" w:rsidR="00940D6E" w:rsidRPr="00F24B53" w:rsidRDefault="00831910" w:rsidP="00F24B53">
      <w:pPr>
        <w:spacing w:after="120"/>
        <w:jc w:val="both"/>
      </w:pPr>
      <w:r w:rsidRPr="00F24B53">
        <w:t>Keberhasilan model integratif perlu diukur dengan indikator finansial dan nonfinansial. Indikator finansial dapat mencakup pertumbuhan dana, proporsi pendapatan mandiri, kecukupan cadangan, laba usaha, dan efisiensi biaya. Indikator nonfinansial mencakup jumlah penerima beasiswa, peningkatan layanan pendidikan, keterlibatan alumni, kepuasan donatur, kompetensi santri, dan manfaat bagi masyarakat. Penggunaan dua kelompok indikator mencegah lembaga menilai keberhasilan hanya dari nominal pendapatan. Kemandirian finansial harus tetap dipahami sebagai sarana untuk memperkuat mutu dan akses pendidikan.</w:t>
      </w:r>
    </w:p>
    <w:p w14:paraId="4D93F0CF" w14:textId="77777777" w:rsidR="00940D6E" w:rsidRPr="00F24B53" w:rsidRDefault="00831910" w:rsidP="00F24B53">
      <w:pPr>
        <w:spacing w:after="120"/>
        <w:jc w:val="both"/>
      </w:pPr>
      <w:r w:rsidRPr="00F24B53">
        <w:t>Partisipasi pemangku kepentingan memperkuat legitimasi model integratif. Wali santri, alumni, pendidik, santri, masyarakat, dan mitra usaha dapat dilibatkan melalui forum konsultasi, laporan berkala, serta mekanisme masukan. Keterlibatan tidak berarti semua pihak mengambil keputusan operasional, tetapi memastikan arah penggunaan sumber daya dapat dipahami dan diawasi. Transparansi ini mengurangi kesalahpahaman ketika lembaga mulai mengembangkan aktivitas bisnis. Masyarakat perlu melihat bahwa usaha dijalankan untuk menopang pendidikan dan pemberdayaan, bukan untuk kepentingan pribadi pengelola.</w:t>
      </w:r>
    </w:p>
    <w:p w14:paraId="3F8A0958" w14:textId="77777777" w:rsidR="00940D6E" w:rsidRPr="00F24B53" w:rsidRDefault="00831910" w:rsidP="00F24B53">
      <w:pPr>
        <w:spacing w:after="120"/>
        <w:jc w:val="both"/>
      </w:pPr>
      <w:r w:rsidRPr="00F24B53">
        <w:t>Model integratif juga perlu menjaga keseimbangan antara misi pendidikan dan orientasi ekonomi. Unit usaha tidak boleh menggeser perhatian utama lembaga dari pembelajaran, pembinaan akhlak, dan pelayanan santri. Sebaliknya, disiplin bisnis dapat memperkuat pendidikan melalui efisiensi, inovasi, dan pengalaman kewirausahaan. Keseimbangan tersebut dijaga melalui batas investasi, pembagian waktu, evaluasi dampak pendidikan, dan pengawasan oleh organ lembaga. Ketika terjadi konflik antara keuntungan jangka pendek dan nilai pendidikan, keputusan harus kembali pada tujuan utama lembaga.</w:t>
      </w:r>
    </w:p>
    <w:p w14:paraId="2D954E23" w14:textId="77777777" w:rsidR="00940D6E" w:rsidRPr="00F24B53" w:rsidRDefault="00831910" w:rsidP="00F24B53">
      <w:pPr>
        <w:spacing w:after="120"/>
        <w:jc w:val="both"/>
      </w:pPr>
      <w:r w:rsidRPr="00F24B53">
        <w:t>Sintesis kajian ini menunjukkan bahwa kemandirian bukan berarti lembaga menolak dukungan pemerintah atau masyarakat. Kemandirian berarti memiliki kapasitas mengelola berbagai sumber secara terencana, tidak rentan terhadap berhentinya satu sumber, dan mampu mempertanggungjawabkan penggunaannya. Dukungan regulasi, hibah, dan kemitraan tetap penting, tetapi ditempatkan sebagai penguat fondasi internal. Fundraising yang amanah membangun modal sosial, sedangkan usaha produktif membangun arus pendapatan. Ketika keduanya dikelola secara profesional, lembaga memiliki ruang lebih besar untuk meningkatkan mutu, memperluas beasiswa, dan merencanakan pengembangan jangka panjang.</w:t>
      </w:r>
    </w:p>
    <w:p w14:paraId="53E34E09" w14:textId="77777777" w:rsidR="00940D6E" w:rsidRPr="00F24B53" w:rsidRDefault="00831910" w:rsidP="00F24B53">
      <w:pPr>
        <w:spacing w:after="120"/>
        <w:jc w:val="both"/>
      </w:pPr>
      <w:r w:rsidRPr="00F24B53">
        <w:t>Sebagai hasil studi kepustakaan, model yang dirumuskan bersifat konseptual dan perlu diuji pada konteks lembaga yang beragam. Pesantren besar dengan jaringan alumni luas memiliki sumber daya berbeda dari madrasah kecil di wilayah pedesaan. Karena itu, penerapan model harus disesuaikan dengan skala, budaya organisasi, aset, kompetensi pengelola, dan lingkungan pasar. Penelitian lapangan dapat menguji tahapan implementasi, hambatan, biaya, serta dampaknya terhadap mutu pendidikan. Keterbatasan tersebut tidak mengurangi nilai sintesis, tetapi menegaskan bahwa model integratif merupakan kerangka adaptif, bukan formula tunggal.</w:t>
      </w:r>
    </w:p>
    <w:p w14:paraId="52358762" w14:textId="0EFBCDAD" w:rsidR="002A2923" w:rsidRDefault="00F24B53" w:rsidP="00F24B53">
      <w:pPr>
        <w:keepNext/>
        <w:spacing w:before="200" w:after="120"/>
      </w:pPr>
      <w:r>
        <w:rPr>
          <w:b/>
          <w:bCs/>
        </w:rPr>
        <w:t>4. Kesimpulan</w:t>
      </w:r>
    </w:p>
    <w:p w14:paraId="57A75C5F" w14:textId="51B1CE07" w:rsidR="002A2923" w:rsidRDefault="00831910" w:rsidP="00F24B53">
      <w:pPr>
        <w:spacing w:after="120"/>
        <w:jc w:val="both"/>
      </w:pPr>
      <w:r>
        <w:t xml:space="preserve">Penelitian ini menyimpulkan tiga hal. Pertama, </w:t>
      </w:r>
      <w:r>
        <w:rPr>
          <w:i/>
          <w:iCs/>
        </w:rPr>
        <w:t>fundraising</w:t>
      </w:r>
      <w:r>
        <w:t xml:space="preserve"> pada lembaga pendidikan Islam akan efektif apabila bertransformasi dari pola tradisional berbasis figur menuju </w:t>
      </w:r>
      <w:r>
        <w:rPr>
          <w:i/>
          <w:iCs/>
        </w:rPr>
        <w:t>fundraising</w:t>
      </w:r>
      <w:r>
        <w:t xml:space="preserve"> modern yang melembaga, dengan strategi diversifikasi sumber dana (ZISWAF, hibah, CSR, kemitraan alumni), digitalisasi kanal penghimpunan, dan pengelolaan kepercayaan donatur melalui akuntabilitas pelaporan. Kedua, pengembangan bidang usaha menjadikan lembaga pendidikan Islam produktif secara ekonomi sekaligus menjadi laboratorium kewirausahaan santri; keberhasilannya ditopang kepemimpinan visioner, tata kelola yang tertib, kapasitas SDM, dan adaptasi teknologi. Ketiga, integrasi </w:t>
      </w:r>
      <w:r>
        <w:rPr>
          <w:i/>
          <w:iCs/>
        </w:rPr>
        <w:t>fundraising</w:t>
      </w:r>
      <w:r>
        <w:t xml:space="preserve"> dan unit usaha dalam satu arsitektur tata kelola—di mana dana filantropi menjadi modal aset produktif dan surplus usaha membiayai pendidikan—merupakan model paling potensial menuju kemandirian finansial lembaga pendidikan Islam.</w:t>
      </w:r>
      <w:r w:rsidR="00F24B53">
        <w:rPr>
          <w:lang w:val="en-GB"/>
        </w:rPr>
        <w:t xml:space="preserve"> </w:t>
      </w:r>
      <w:r>
        <w:t xml:space="preserve">Secara praktis, penelitian ini merekomendasikan agar pengelola pesantren dan madrasah membentuk unit </w:t>
      </w:r>
      <w:r>
        <w:rPr>
          <w:i/>
          <w:iCs/>
        </w:rPr>
        <w:t>fundraising</w:t>
      </w:r>
      <w:r>
        <w:t xml:space="preserve"> profesional dan badan usaha milik pesantren dengan pemisahan keuangan yang jelas, menerapkan pelaporan keuangan berstandar, serta memanfaatkan instrumen wakaf produktif dan dukungan regulasi pemerintah. Secara akademis, penelitian lanjutan disarankan </w:t>
      </w:r>
      <w:r>
        <w:lastRenderedPageBreak/>
        <w:t>menguji model integratif ini secara empiris pada pesantren atau madrasah tertentu, misalnya melalui studi kasus atau penelitian campuran, agar diperoleh bukti lapangan mengenai efektivitas model tersebut.</w:t>
      </w:r>
    </w:p>
    <w:p w14:paraId="15747115" w14:textId="77777777" w:rsidR="002A2923" w:rsidRDefault="00831910" w:rsidP="00F24B53">
      <w:pPr>
        <w:keepNext/>
        <w:spacing w:before="160" w:after="100"/>
      </w:pPr>
      <w:r>
        <w:rPr>
          <w:b/>
          <w:bCs/>
        </w:rPr>
        <w:t>Referensi</w:t>
      </w:r>
    </w:p>
    <w:p w14:paraId="2F22E86E" w14:textId="77777777" w:rsidR="002A2923" w:rsidRPr="00F24B53" w:rsidRDefault="00831910" w:rsidP="00F24B53">
      <w:pPr>
        <w:ind w:left="567" w:hanging="567"/>
        <w:jc w:val="both"/>
        <w:rPr>
          <w:sz w:val="16"/>
          <w:szCs w:val="16"/>
        </w:rPr>
      </w:pPr>
      <w:r w:rsidRPr="00F24B53">
        <w:rPr>
          <w:sz w:val="16"/>
          <w:szCs w:val="16"/>
        </w:rPr>
        <w:t>[1]</w:t>
      </w:r>
      <w:r w:rsidRPr="00F24B53">
        <w:rPr>
          <w:sz w:val="16"/>
          <w:szCs w:val="16"/>
        </w:rPr>
        <w:tab/>
        <w:t>E. F. Fahyuni, Buku Ajar Konsep Pembiayaan Pendidikan Islam. Sidoarjo: UMSIDA Press, 2020, doi: 10.21070/2020/978-623-7578-66-6.</w:t>
      </w:r>
    </w:p>
    <w:p w14:paraId="693B92F8" w14:textId="77777777" w:rsidR="002A2923" w:rsidRPr="00F24B53" w:rsidRDefault="00831910" w:rsidP="00F24B53">
      <w:pPr>
        <w:ind w:left="567" w:hanging="567"/>
        <w:jc w:val="both"/>
        <w:rPr>
          <w:sz w:val="16"/>
          <w:szCs w:val="16"/>
        </w:rPr>
      </w:pPr>
      <w:r w:rsidRPr="00F24B53">
        <w:rPr>
          <w:sz w:val="16"/>
          <w:szCs w:val="16"/>
        </w:rPr>
        <w:t>[2]</w:t>
      </w:r>
      <w:r w:rsidRPr="00F24B53">
        <w:rPr>
          <w:sz w:val="16"/>
          <w:szCs w:val="16"/>
        </w:rPr>
        <w:tab/>
        <w:t>Republik Indonesia, Undang-Undang Nomor 18 Tahun 2019 tentang Pesantren. Jakarta: Sekretariat Negara, 2019.</w:t>
      </w:r>
    </w:p>
    <w:p w14:paraId="2D8235D5" w14:textId="77777777" w:rsidR="002A2923" w:rsidRPr="00F24B53" w:rsidRDefault="00831910" w:rsidP="00F24B53">
      <w:pPr>
        <w:ind w:left="567" w:hanging="567"/>
        <w:jc w:val="both"/>
        <w:rPr>
          <w:sz w:val="16"/>
          <w:szCs w:val="16"/>
        </w:rPr>
      </w:pPr>
      <w:r w:rsidRPr="00F24B53">
        <w:rPr>
          <w:sz w:val="16"/>
          <w:szCs w:val="16"/>
        </w:rPr>
        <w:t>[3]</w:t>
      </w:r>
      <w:r w:rsidRPr="00F24B53">
        <w:rPr>
          <w:sz w:val="16"/>
          <w:szCs w:val="16"/>
        </w:rPr>
        <w:tab/>
        <w:t>Republik Indonesia, Peraturan Presiden Nomor 82 Tahun 2021 tentang Pendanaan Penyelenggaraan Pesantren. Jakarta: Sekretariat Negara, 2021.</w:t>
      </w:r>
    </w:p>
    <w:p w14:paraId="77580697" w14:textId="77777777" w:rsidR="002A2923" w:rsidRPr="00F24B53" w:rsidRDefault="00831910" w:rsidP="00F24B53">
      <w:pPr>
        <w:ind w:left="567" w:hanging="567"/>
        <w:jc w:val="both"/>
        <w:rPr>
          <w:sz w:val="16"/>
          <w:szCs w:val="16"/>
        </w:rPr>
      </w:pPr>
      <w:r w:rsidRPr="00F24B53">
        <w:rPr>
          <w:sz w:val="16"/>
          <w:szCs w:val="16"/>
        </w:rPr>
        <w:t>[4]</w:t>
      </w:r>
      <w:r w:rsidRPr="00F24B53">
        <w:rPr>
          <w:sz w:val="16"/>
          <w:szCs w:val="16"/>
        </w:rPr>
        <w:tab/>
        <w:t>E. Muslihah, E. Asyiah, S. Supianto, and B. Pramono, “Islamic fundraising: Increasing donor participation in the development of Islamic educational institutions,” Didaktika: Jurnal Kependidikan, vol. 14, no. 1, pp. 195–206, 2025, doi: 10.58230/27454312.1774.</w:t>
      </w:r>
    </w:p>
    <w:p w14:paraId="0701C35F" w14:textId="77777777" w:rsidR="002A2923" w:rsidRPr="00F24B53" w:rsidRDefault="00831910" w:rsidP="00F24B53">
      <w:pPr>
        <w:ind w:left="567" w:hanging="567"/>
        <w:jc w:val="both"/>
        <w:rPr>
          <w:sz w:val="16"/>
          <w:szCs w:val="16"/>
        </w:rPr>
      </w:pPr>
      <w:r w:rsidRPr="00F24B53">
        <w:rPr>
          <w:sz w:val="16"/>
          <w:szCs w:val="16"/>
        </w:rPr>
        <w:t>[5]</w:t>
      </w:r>
      <w:r w:rsidRPr="00F24B53">
        <w:rPr>
          <w:sz w:val="16"/>
          <w:szCs w:val="16"/>
        </w:rPr>
        <w:tab/>
        <w:t>M. A. Setiawan, S. H. Armina, and A. Jalaludin, “Implementation of the Islamic social entrepreneurship concept in the Pondok Modern Darussalam Gontor business unit,” Indonesian Journal of Innovation Multidisipliner Research, vol. 2, no. 2, pp. 161–172, 2024, doi: 10.69693/ijim.v2i2.123.</w:t>
      </w:r>
    </w:p>
    <w:p w14:paraId="69B0D85E" w14:textId="77777777" w:rsidR="002A2923" w:rsidRPr="00F24B53" w:rsidRDefault="00831910" w:rsidP="00F24B53">
      <w:pPr>
        <w:ind w:left="567" w:hanging="567"/>
        <w:jc w:val="both"/>
        <w:rPr>
          <w:sz w:val="16"/>
          <w:szCs w:val="16"/>
        </w:rPr>
      </w:pPr>
      <w:r w:rsidRPr="00F24B53">
        <w:rPr>
          <w:sz w:val="16"/>
          <w:szCs w:val="16"/>
        </w:rPr>
        <w:t>[6]</w:t>
      </w:r>
      <w:r w:rsidRPr="00F24B53">
        <w:rPr>
          <w:sz w:val="16"/>
          <w:szCs w:val="16"/>
        </w:rPr>
        <w:tab/>
        <w:t>A. R. M. Wahyu, W. A. Anwar, A. Alamsyah, S. Syarifuddin, S. Muslimin, and N. Nuringsih, “Zakat empowerment model in Islamic boarding school,” Balanca: Jurnal Ekonomi dan Bisnis Islam, vol. 5, no. 2, pp. 74–85, 2023.</w:t>
      </w:r>
    </w:p>
    <w:p w14:paraId="40698B94" w14:textId="77777777" w:rsidR="002A2923" w:rsidRPr="00F24B53" w:rsidRDefault="00831910" w:rsidP="00F24B53">
      <w:pPr>
        <w:ind w:left="567" w:hanging="567"/>
        <w:jc w:val="both"/>
        <w:rPr>
          <w:sz w:val="16"/>
          <w:szCs w:val="16"/>
        </w:rPr>
      </w:pPr>
      <w:r w:rsidRPr="00F24B53">
        <w:rPr>
          <w:sz w:val="16"/>
          <w:szCs w:val="16"/>
        </w:rPr>
        <w:t>[7]</w:t>
      </w:r>
      <w:r w:rsidRPr="00F24B53">
        <w:rPr>
          <w:sz w:val="16"/>
          <w:szCs w:val="16"/>
        </w:rPr>
        <w:tab/>
        <w:t>M. Sufiani and I. Ratih, “Manajemen unit usaha pesantren,” Ar-Ribhu: Jurnal Manajemen dan Keuangan Syariah, vol. 2, no. 2, pp. 316–328, 2021, doi: 10.55210/arribhu.v2i2.746.</w:t>
      </w:r>
    </w:p>
    <w:p w14:paraId="2C1C8927" w14:textId="77777777" w:rsidR="002A2923" w:rsidRPr="00F24B53" w:rsidRDefault="00831910" w:rsidP="00F24B53">
      <w:pPr>
        <w:ind w:left="567" w:hanging="567"/>
        <w:jc w:val="both"/>
        <w:rPr>
          <w:sz w:val="16"/>
          <w:szCs w:val="16"/>
        </w:rPr>
      </w:pPr>
      <w:r w:rsidRPr="00F24B53">
        <w:rPr>
          <w:sz w:val="16"/>
          <w:szCs w:val="16"/>
        </w:rPr>
        <w:t>[8]</w:t>
      </w:r>
      <w:r w:rsidRPr="00F24B53">
        <w:rPr>
          <w:sz w:val="16"/>
          <w:szCs w:val="16"/>
        </w:rPr>
        <w:tab/>
        <w:t>D. A. Mi’raj, I. Zaki, and F. F. Hasib, “Economic independence of Islamic boarding schools,” Amwaluna: Jurnal Ekonomi dan Keuangan Syariah, vol. 7, no. 2, pp. 174–184, 2023, doi: 10.29313/amwaluna.v7i2.7778.</w:t>
      </w:r>
    </w:p>
    <w:p w14:paraId="5DC67595" w14:textId="77777777" w:rsidR="002A2923" w:rsidRPr="00F24B53" w:rsidRDefault="00831910" w:rsidP="00F24B53">
      <w:pPr>
        <w:ind w:left="567" w:hanging="567"/>
        <w:jc w:val="both"/>
        <w:rPr>
          <w:sz w:val="16"/>
          <w:szCs w:val="16"/>
        </w:rPr>
      </w:pPr>
      <w:r w:rsidRPr="00F24B53">
        <w:rPr>
          <w:sz w:val="16"/>
          <w:szCs w:val="16"/>
        </w:rPr>
        <w:t>[9]</w:t>
      </w:r>
      <w:r w:rsidRPr="00F24B53">
        <w:rPr>
          <w:sz w:val="16"/>
          <w:szCs w:val="16"/>
        </w:rPr>
        <w:tab/>
        <w:t>A. L. Chamidi, “Peran pemberdayaan ekonomi pesantren dalam mendorong kemandirian ekonomi (studi kasus Pondok Pesantren Bahrul ‘Ulum Tambakberas Jombang),” Jurnal Ilmiah Ekonomi Islam, vol. 9, no. 2, 2023.</w:t>
      </w:r>
    </w:p>
    <w:p w14:paraId="2199BBDC" w14:textId="77777777" w:rsidR="002A2923" w:rsidRPr="00F24B53" w:rsidRDefault="00831910" w:rsidP="00F24B53">
      <w:pPr>
        <w:ind w:left="567" w:hanging="567"/>
        <w:jc w:val="both"/>
        <w:rPr>
          <w:sz w:val="16"/>
          <w:szCs w:val="16"/>
        </w:rPr>
      </w:pPr>
      <w:r w:rsidRPr="00F24B53">
        <w:rPr>
          <w:sz w:val="16"/>
          <w:szCs w:val="16"/>
        </w:rPr>
        <w:t>[10]</w:t>
      </w:r>
      <w:r w:rsidRPr="00F24B53">
        <w:rPr>
          <w:sz w:val="16"/>
          <w:szCs w:val="16"/>
        </w:rPr>
        <w:tab/>
        <w:t>A. F. Hakim, M. M. Nur, and I. Ichsan, “Faktor-faktor yang mempengaruhi kemandirian ekonomi pondok pesantren,” El-Amwal, vol. 5, no. 2, pp. 1–14, 2022.</w:t>
      </w:r>
    </w:p>
    <w:p w14:paraId="21C89B86" w14:textId="77777777" w:rsidR="002A2923" w:rsidRPr="00F24B53" w:rsidRDefault="00831910" w:rsidP="00F24B53">
      <w:pPr>
        <w:ind w:left="567" w:hanging="567"/>
        <w:jc w:val="both"/>
        <w:rPr>
          <w:sz w:val="16"/>
          <w:szCs w:val="16"/>
        </w:rPr>
      </w:pPr>
      <w:r w:rsidRPr="00F24B53">
        <w:rPr>
          <w:sz w:val="16"/>
          <w:szCs w:val="16"/>
        </w:rPr>
        <w:t>[11]</w:t>
      </w:r>
      <w:r w:rsidRPr="00F24B53">
        <w:rPr>
          <w:sz w:val="16"/>
          <w:szCs w:val="16"/>
        </w:rPr>
        <w:tab/>
        <w:t>M. Hamzah, A. Febrianto, A. Yakin, S. Nurbayah, and S. F. Riyantoro, “Penguatan ekonomi pesantren melalui digitalisasi unit usaha pesantren,” Jurnal Ilmiah Ekonomi Islam, vol. 8, no. 1, pp. 1040–1047, 2022, doi: 10.29040/jiei.v8i1.4730.</w:t>
      </w:r>
    </w:p>
    <w:p w14:paraId="28032ACA" w14:textId="77777777" w:rsidR="002A2923" w:rsidRPr="00F24B53" w:rsidRDefault="00831910" w:rsidP="00F24B53">
      <w:pPr>
        <w:ind w:left="567" w:hanging="567"/>
        <w:jc w:val="both"/>
        <w:rPr>
          <w:sz w:val="16"/>
          <w:szCs w:val="16"/>
        </w:rPr>
      </w:pPr>
      <w:r w:rsidRPr="00F24B53">
        <w:rPr>
          <w:sz w:val="16"/>
          <w:szCs w:val="16"/>
        </w:rPr>
        <w:t>[12]</w:t>
      </w:r>
      <w:r w:rsidRPr="00F24B53">
        <w:rPr>
          <w:sz w:val="16"/>
          <w:szCs w:val="16"/>
        </w:rPr>
        <w:tab/>
        <w:t>D. I. Chysara and M. S. Nugraha, “Efektivitas pengelolaan keuangan melalui penerapan good governance pada pondok pesantren,” Epistemic: Jurnal Ilmiah Pendidikan, vol. 3, no. 1, pp. 166–183, 2024, doi: 10.70287/epistemic.v3i1.220.</w:t>
      </w:r>
    </w:p>
    <w:p w14:paraId="1C8D4952" w14:textId="77777777" w:rsidR="002A2923" w:rsidRPr="00F24B53" w:rsidRDefault="00831910" w:rsidP="00F24B53">
      <w:pPr>
        <w:ind w:left="567" w:hanging="567"/>
        <w:jc w:val="both"/>
        <w:rPr>
          <w:sz w:val="16"/>
          <w:szCs w:val="16"/>
        </w:rPr>
      </w:pPr>
      <w:r w:rsidRPr="00F24B53">
        <w:rPr>
          <w:sz w:val="16"/>
          <w:szCs w:val="16"/>
        </w:rPr>
        <w:t>[13]</w:t>
      </w:r>
      <w:r w:rsidRPr="00F24B53">
        <w:rPr>
          <w:sz w:val="16"/>
          <w:szCs w:val="16"/>
        </w:rPr>
        <w:tab/>
        <w:t>Z. A. Tabrani, S. Idris, M. Z. M. Yusoff, R. Siswanto, and R. Murziqin, “Strategy on boarding school development: Between trend and performance analysis,” Multidisciplinary Reviews, vol. 6, no. 2, p. 2023013, 2023, doi: 10.31893/multirev.2023013.</w:t>
      </w:r>
    </w:p>
    <w:p w14:paraId="7342A2A2" w14:textId="77777777" w:rsidR="002A2923" w:rsidRPr="00F24B53" w:rsidRDefault="00831910" w:rsidP="00F24B53">
      <w:pPr>
        <w:ind w:left="567" w:hanging="567"/>
        <w:jc w:val="both"/>
        <w:rPr>
          <w:sz w:val="16"/>
          <w:szCs w:val="16"/>
        </w:rPr>
      </w:pPr>
      <w:r w:rsidRPr="00F24B53">
        <w:rPr>
          <w:sz w:val="16"/>
          <w:szCs w:val="16"/>
        </w:rPr>
        <w:t>[14]</w:t>
      </w:r>
      <w:r w:rsidRPr="00F24B53">
        <w:rPr>
          <w:sz w:val="16"/>
          <w:szCs w:val="16"/>
        </w:rPr>
        <w:tab/>
        <w:t>M. A. Sarwenda, Kemandirian dan Sikap Entrepreneurship Santri di Pesantren. Bandung: Publica Indonesia Utama, 2023.</w:t>
      </w:r>
    </w:p>
    <w:p w14:paraId="5E660481" w14:textId="77777777" w:rsidR="002A2923" w:rsidRPr="00F24B53" w:rsidRDefault="00831910" w:rsidP="00F24B53">
      <w:pPr>
        <w:ind w:left="567" w:hanging="567"/>
        <w:jc w:val="both"/>
        <w:rPr>
          <w:sz w:val="16"/>
          <w:szCs w:val="16"/>
        </w:rPr>
      </w:pPr>
      <w:r w:rsidRPr="00F24B53">
        <w:rPr>
          <w:sz w:val="16"/>
          <w:szCs w:val="16"/>
        </w:rPr>
        <w:t>[15]</w:t>
      </w:r>
      <w:r w:rsidRPr="00F24B53">
        <w:rPr>
          <w:sz w:val="16"/>
          <w:szCs w:val="16"/>
        </w:rPr>
        <w:tab/>
        <w:t>F. S. A. Anggara and L. F. F. Abar, “Analisis gaya kepemimpinan spiritual dalam memimpin kemandirian unit usaha Pondok Pesantren Nurul Haramain Nahdlatul Wathan,” Gulawentah: Jurnal Studi Sosial, vol. 6, no. 1, pp. 42–53, 2021, doi: 10.25273/gulawentah.v6i1.9239.</w:t>
      </w:r>
    </w:p>
    <w:p w14:paraId="0AC7B92F" w14:textId="77777777" w:rsidR="002A2923" w:rsidRPr="00F24B53" w:rsidRDefault="00831910" w:rsidP="00F24B53">
      <w:pPr>
        <w:ind w:left="567" w:hanging="567"/>
        <w:jc w:val="both"/>
        <w:rPr>
          <w:sz w:val="16"/>
          <w:szCs w:val="16"/>
        </w:rPr>
      </w:pPr>
      <w:r w:rsidRPr="00F24B53">
        <w:rPr>
          <w:sz w:val="16"/>
          <w:szCs w:val="16"/>
        </w:rPr>
        <w:t>[16]</w:t>
      </w:r>
      <w:r w:rsidRPr="00F24B53">
        <w:rPr>
          <w:sz w:val="16"/>
          <w:szCs w:val="16"/>
        </w:rPr>
        <w:tab/>
        <w:t>A. Saifudin R. and S. Supriyanto, “Membentuk kemandirian ekonomi pesantren: Telaah terhadap peran kiai dalam Pesantren Al-Amien Prenduan, Madura,” Maliyah: Jurnal Hukum Bisnis Islam, vol. 11, no. 2, pp. 282–309, 2021.</w:t>
      </w:r>
    </w:p>
    <w:p w14:paraId="2B17FE44" w14:textId="77777777" w:rsidR="002A2923" w:rsidRPr="00F24B53" w:rsidRDefault="00831910" w:rsidP="00F24B53">
      <w:pPr>
        <w:ind w:left="567" w:hanging="567"/>
        <w:jc w:val="both"/>
        <w:rPr>
          <w:sz w:val="16"/>
          <w:szCs w:val="16"/>
        </w:rPr>
      </w:pPr>
      <w:r w:rsidRPr="00F24B53">
        <w:rPr>
          <w:sz w:val="16"/>
          <w:szCs w:val="16"/>
        </w:rPr>
        <w:t>[17]</w:t>
      </w:r>
      <w:r w:rsidRPr="00F24B53">
        <w:rPr>
          <w:sz w:val="16"/>
          <w:szCs w:val="16"/>
        </w:rPr>
        <w:tab/>
        <w:t>Y. Yunindyawati, E. Lidya, L. Erina, and T. A. Susanto, “The institutional capacity building of Al-Ittifaqiah Islamic Boarding School based on entrepreneurship,” Inferensi: Jurnal Penelitian Sosial Keagamaan, vol. 16, no. 2, pp. 257–276, 2022.</w:t>
      </w:r>
    </w:p>
    <w:p w14:paraId="52824766" w14:textId="77777777" w:rsidR="002A2923" w:rsidRPr="00F24B53" w:rsidRDefault="00831910" w:rsidP="00F24B53">
      <w:pPr>
        <w:ind w:left="567" w:hanging="567"/>
        <w:jc w:val="both"/>
        <w:rPr>
          <w:sz w:val="16"/>
          <w:szCs w:val="16"/>
        </w:rPr>
      </w:pPr>
      <w:r w:rsidRPr="00F24B53">
        <w:rPr>
          <w:sz w:val="16"/>
          <w:szCs w:val="16"/>
        </w:rPr>
        <w:t>[18]</w:t>
      </w:r>
      <w:r w:rsidRPr="00F24B53">
        <w:rPr>
          <w:sz w:val="16"/>
          <w:szCs w:val="16"/>
        </w:rPr>
        <w:tab/>
        <w:t>M. Idris and T. Rahman, “Strategi kiai dan santri dalam mewujudkan kemandirian ekonomi Pondok Pesantren Nurul Amanah Bangkalan,” in Prosiding Seminar Nasional Ekonomi dan Bisnis Universitas Muhammadiyah Surabaya, vol. 1, 2022, pp. 206–215.</w:t>
      </w:r>
    </w:p>
    <w:p w14:paraId="6AFA05F2" w14:textId="77777777" w:rsidR="002A2923" w:rsidRPr="00F24B53" w:rsidRDefault="00831910" w:rsidP="00F24B53">
      <w:pPr>
        <w:ind w:left="567" w:hanging="567"/>
        <w:jc w:val="both"/>
        <w:rPr>
          <w:sz w:val="16"/>
          <w:szCs w:val="16"/>
        </w:rPr>
      </w:pPr>
      <w:r w:rsidRPr="00F24B53">
        <w:rPr>
          <w:sz w:val="16"/>
          <w:szCs w:val="16"/>
        </w:rPr>
        <w:t>[19]</w:t>
      </w:r>
      <w:r w:rsidRPr="00F24B53">
        <w:rPr>
          <w:sz w:val="16"/>
          <w:szCs w:val="16"/>
        </w:rPr>
        <w:tab/>
        <w:t>M. Bundo, D. E. Putra, and A. Afriyanti, “Potret unit usaha pondok pesantren Yayasan Waqaf Ar Risalah Sumatera Barat,” Jurnal Ilmiah Ekonomi Islam, vol. 9, no. 1, pp. 1480–1484, 2023.</w:t>
      </w:r>
    </w:p>
    <w:sectPr w:rsidR="002A2923" w:rsidRPr="00F24B53" w:rsidSect="00D5478C">
      <w:headerReference w:type="default" r:id="rId15"/>
      <w:footerReference w:type="default" r:id="rId16"/>
      <w:footerReference w:type="first" r:id="rId17"/>
      <w:pgSz w:w="11906" w:h="16838"/>
      <w:pgMar w:top="1418" w:right="1418" w:bottom="1418" w:left="1418" w:header="709" w:footer="709" w:gutter="0"/>
      <w:pgNumType w:start="2163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05036" w14:textId="77777777" w:rsidR="00D24956" w:rsidRDefault="00D24956">
      <w:r>
        <w:separator/>
      </w:r>
    </w:p>
  </w:endnote>
  <w:endnote w:type="continuationSeparator" w:id="0">
    <w:p w14:paraId="0E528568" w14:textId="77777777" w:rsidR="00D24956" w:rsidRDefault="00D2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66DFC" w14:textId="3FBA0E55" w:rsidR="00D5478C" w:rsidRPr="00D5478C" w:rsidRDefault="00D5478C" w:rsidP="00D5478C">
    <w:pPr>
      <w:pBdr>
        <w:bottom w:val="single" w:sz="6" w:space="1" w:color="auto"/>
      </w:pBdr>
      <w:tabs>
        <w:tab w:val="center" w:pos="4513"/>
        <w:tab w:val="right" w:pos="9070"/>
      </w:tabs>
      <w:spacing w:before="120"/>
      <w:jc w:val="center"/>
      <w:rPr>
        <w:color w:val="000000"/>
        <w:lang w:val="en-US" w:eastAsia="en-US"/>
      </w:rPr>
    </w:pPr>
    <w:bookmarkStart w:id="0" w:name="_Hlk70513816"/>
    <w:r w:rsidRPr="00D5478C">
      <w:rPr>
        <w:color w:val="000000"/>
        <w:lang w:eastAsia="en-US"/>
      </w:rPr>
      <w:t>DOI: https://doi.org/</w:t>
    </w:r>
    <w:r w:rsidRPr="00D5478C">
      <w:rPr>
        <w:rFonts w:eastAsia="Calibri"/>
        <w:noProof/>
        <w:color w:val="000000"/>
        <w:lang w:eastAsia="en-US"/>
      </w:rPr>
      <w:t>10.31004/riggs.v5i2.11434</w:t>
    </w:r>
  </w:p>
  <w:p w14:paraId="7AB658ED" w14:textId="77777777" w:rsidR="00D5478C" w:rsidRPr="00D5478C" w:rsidRDefault="00D5478C" w:rsidP="00D5478C">
    <w:pPr>
      <w:pBdr>
        <w:bottom w:val="single" w:sz="6" w:space="1" w:color="auto"/>
      </w:pBdr>
      <w:tabs>
        <w:tab w:val="center" w:pos="4513"/>
        <w:tab w:val="right" w:pos="9070"/>
      </w:tabs>
      <w:jc w:val="center"/>
      <w:rPr>
        <w:rFonts w:eastAsia="Calibri"/>
        <w:lang w:val="en-US" w:eastAsia="en-US"/>
      </w:rPr>
    </w:pPr>
    <w:r w:rsidRPr="00D5478C">
      <w:rPr>
        <w:rFonts w:eastAsia="Calibri"/>
        <w:lang w:eastAsia="en-US"/>
      </w:rPr>
      <w:t xml:space="preserve">Lisensi: </w:t>
    </w:r>
    <w:r w:rsidRPr="00D5478C">
      <w:rPr>
        <w:rFonts w:eastAsia="Calibri"/>
        <w:lang w:val="en-US" w:eastAsia="en-US"/>
      </w:rPr>
      <w:t>Creative Commons Attribution 4.0 International</w:t>
    </w:r>
    <w:r w:rsidRPr="00D5478C">
      <w:rPr>
        <w:rFonts w:eastAsia="Calibri"/>
        <w:lang w:eastAsia="en-US"/>
      </w:rPr>
      <w:t xml:space="preserve"> (CC BY 4.0)</w:t>
    </w:r>
  </w:p>
  <w:bookmarkEnd w:id="0"/>
  <w:p w14:paraId="407E6A05" w14:textId="77777777" w:rsidR="00D5478C" w:rsidRPr="00D5478C" w:rsidRDefault="00D5478C" w:rsidP="00D5478C">
    <w:pPr>
      <w:tabs>
        <w:tab w:val="center" w:pos="4513"/>
        <w:tab w:val="right" w:pos="9026"/>
      </w:tabs>
      <w:jc w:val="center"/>
      <w:rPr>
        <w:rFonts w:eastAsia="Calibri"/>
        <w:lang w:val="en-US" w:eastAsia="en-US"/>
      </w:rPr>
    </w:pPr>
    <w:r w:rsidRPr="00D5478C">
      <w:rPr>
        <w:rFonts w:eastAsia="Calibri"/>
        <w:lang w:val="en-US" w:eastAsia="en-US"/>
      </w:rPr>
      <w:fldChar w:fldCharType="begin"/>
    </w:r>
    <w:r w:rsidRPr="00D5478C">
      <w:rPr>
        <w:rFonts w:eastAsia="Calibri"/>
        <w:lang w:val="en-US" w:eastAsia="en-US"/>
      </w:rPr>
      <w:instrText xml:space="preserve"> PAGE   \* MERGEFORMAT </w:instrText>
    </w:r>
    <w:r w:rsidRPr="00D5478C">
      <w:rPr>
        <w:rFonts w:eastAsia="Calibri"/>
        <w:lang w:val="en-US" w:eastAsia="en-US"/>
      </w:rPr>
      <w:fldChar w:fldCharType="separate"/>
    </w:r>
    <w:r w:rsidRPr="00D5478C">
      <w:rPr>
        <w:rFonts w:eastAsia="Calibri"/>
        <w:lang w:val="en-US" w:eastAsia="en-US"/>
      </w:rPr>
      <w:t>20747</w:t>
    </w:r>
    <w:r w:rsidRPr="00D5478C">
      <w:rPr>
        <w:rFonts w:eastAsia="Calibri"/>
        <w:lang w:val="en-US" w:eastAsia="en-US"/>
      </w:rPr>
      <w:fldChar w:fldCharType="end"/>
    </w:r>
  </w:p>
  <w:p w14:paraId="4CB60746" w14:textId="77777777" w:rsidR="00D5478C" w:rsidRPr="00D5478C" w:rsidRDefault="00D5478C" w:rsidP="00D5478C">
    <w:pPr>
      <w:tabs>
        <w:tab w:val="center" w:pos="4513"/>
        <w:tab w:val="right" w:pos="9026"/>
      </w:tabs>
      <w:jc w:val="both"/>
      <w:rPr>
        <w:rFonts w:eastAsia="Calibri"/>
        <w:lang w:val="en-US" w:eastAsia="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4AD7E" w14:textId="1A3F3693" w:rsidR="00E00D5B" w:rsidRPr="00E00D5B" w:rsidRDefault="00D5478C" w:rsidP="00D5478C">
    <w:pPr>
      <w:pBdr>
        <w:bottom w:val="single" w:sz="4" w:space="1" w:color="auto"/>
      </w:pBdr>
      <w:spacing w:after="40"/>
      <w:jc w:val="center"/>
    </w:pPr>
    <w:r w:rsidRPr="00D5478C">
      <w:t>Strategi Fundraising dan Pengembangan Bidang Usaha dalam Mewujudkan Kemandirian Lembaga Pendidikan Islam</w:t>
    </w:r>
  </w:p>
  <w:p w14:paraId="59AA0CF7" w14:textId="77777777" w:rsidR="002A2923" w:rsidRDefault="00831910" w:rsidP="00D5478C">
    <w:pPr>
      <w:jc w:val="center"/>
    </w:pPr>
    <w:r>
      <w:rPr>
        <w:sz w:val="18"/>
        <w:szCs w:val="18"/>
      </w:rPr>
      <w:fldChar w:fldCharType="begin"/>
    </w:r>
    <w:r>
      <w:rPr>
        <w:sz w:val="18"/>
        <w:szCs w:val="18"/>
      </w:rPr>
      <w:instrText>PAGE</w:instrText>
    </w:r>
    <w:r>
      <w:rPr>
        <w:sz w:val="18"/>
        <w:szCs w:val="18"/>
      </w:rPr>
      <w:fldChar w:fldCharType="separate"/>
    </w:r>
    <w:r w:rsidR="00C151E2">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22C02" w14:textId="77777777" w:rsidR="00D24956" w:rsidRDefault="00D24956">
      <w:r>
        <w:separator/>
      </w:r>
    </w:p>
  </w:footnote>
  <w:footnote w:type="continuationSeparator" w:id="0">
    <w:p w14:paraId="5BBE796E" w14:textId="77777777" w:rsidR="00D24956" w:rsidRDefault="00D24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3507" w14:textId="77777777" w:rsidR="00D5478C" w:rsidRDefault="00D5478C" w:rsidP="00D5478C">
    <w:pPr>
      <w:jc w:val="center"/>
    </w:pPr>
    <w:r>
      <w:t>Revo Fariz Al Kabir, Hani Alfalah, Ahmad Bayhaqi, Amelia, Ade Sofyan Mulazid</w:t>
    </w:r>
  </w:p>
  <w:p w14:paraId="38EEA25D" w14:textId="575065A8" w:rsidR="002A2923" w:rsidRPr="00E00D5B" w:rsidRDefault="00831910">
    <w:pPr>
      <w:pBdr>
        <w:bottom w:val="single" w:sz="6" w:space="2" w:color="000000"/>
      </w:pBdr>
      <w:jc w:val="center"/>
      <w:rPr>
        <w:lang w:val="en-US"/>
      </w:rPr>
    </w:pPr>
    <w:r w:rsidRPr="00E00D5B">
      <w:t xml:space="preserve">Jurnal Kecerdasan Buatan dan Bisnis Digital (RIGGS) Volume </w:t>
    </w:r>
    <w:r w:rsidR="00E00D5B" w:rsidRPr="00E00D5B">
      <w:rPr>
        <w:lang w:val="en-US"/>
      </w:rPr>
      <w:t>5</w:t>
    </w:r>
    <w:r w:rsidRPr="00E00D5B">
      <w:t xml:space="preserve"> Nomor </w:t>
    </w:r>
    <w:r w:rsidR="00E00D5B" w:rsidRPr="00E00D5B">
      <w:rPr>
        <w:lang w:val="en-US"/>
      </w:rPr>
      <w:t>2</w:t>
    </w:r>
    <w:r w:rsidRPr="00E00D5B">
      <w:t>, 2</w:t>
    </w:r>
    <w:r w:rsidR="00E00D5B" w:rsidRPr="00E00D5B">
      <w:rPr>
        <w:lang w:val="en-US"/>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07754C"/>
    <w:multiLevelType w:val="hybridMultilevel"/>
    <w:tmpl w:val="483215A2"/>
    <w:lvl w:ilvl="0" w:tplc="303CDAF8">
      <w:start w:val="1"/>
      <w:numFmt w:val="bullet"/>
      <w:lvlText w:val="●"/>
      <w:lvlJc w:val="left"/>
      <w:pPr>
        <w:ind w:left="720" w:hanging="360"/>
      </w:pPr>
    </w:lvl>
    <w:lvl w:ilvl="1" w:tplc="124E9230">
      <w:start w:val="1"/>
      <w:numFmt w:val="bullet"/>
      <w:lvlText w:val="○"/>
      <w:lvlJc w:val="left"/>
      <w:pPr>
        <w:ind w:left="1440" w:hanging="360"/>
      </w:pPr>
    </w:lvl>
    <w:lvl w:ilvl="2" w:tplc="B3507A1A">
      <w:start w:val="1"/>
      <w:numFmt w:val="bullet"/>
      <w:lvlText w:val="■"/>
      <w:lvlJc w:val="left"/>
      <w:pPr>
        <w:ind w:left="2160" w:hanging="360"/>
      </w:pPr>
    </w:lvl>
    <w:lvl w:ilvl="3" w:tplc="9F06154C">
      <w:start w:val="1"/>
      <w:numFmt w:val="bullet"/>
      <w:lvlText w:val="●"/>
      <w:lvlJc w:val="left"/>
      <w:pPr>
        <w:ind w:left="2880" w:hanging="360"/>
      </w:pPr>
    </w:lvl>
    <w:lvl w:ilvl="4" w:tplc="8AD458DE">
      <w:start w:val="1"/>
      <w:numFmt w:val="bullet"/>
      <w:lvlText w:val="○"/>
      <w:lvlJc w:val="left"/>
      <w:pPr>
        <w:ind w:left="3600" w:hanging="360"/>
      </w:pPr>
    </w:lvl>
    <w:lvl w:ilvl="5" w:tplc="D7600F0A">
      <w:start w:val="1"/>
      <w:numFmt w:val="bullet"/>
      <w:lvlText w:val="■"/>
      <w:lvlJc w:val="left"/>
      <w:pPr>
        <w:ind w:left="4320" w:hanging="360"/>
      </w:pPr>
    </w:lvl>
    <w:lvl w:ilvl="6" w:tplc="5844C5CA">
      <w:start w:val="1"/>
      <w:numFmt w:val="bullet"/>
      <w:lvlText w:val="●"/>
      <w:lvlJc w:val="left"/>
      <w:pPr>
        <w:ind w:left="5040" w:hanging="360"/>
      </w:pPr>
    </w:lvl>
    <w:lvl w:ilvl="7" w:tplc="4CF8598E">
      <w:start w:val="1"/>
      <w:numFmt w:val="bullet"/>
      <w:lvlText w:val="●"/>
      <w:lvlJc w:val="left"/>
      <w:pPr>
        <w:ind w:left="5760" w:hanging="360"/>
      </w:pPr>
    </w:lvl>
    <w:lvl w:ilvl="8" w:tplc="F12A67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923"/>
    <w:rsid w:val="000C0E91"/>
    <w:rsid w:val="00115866"/>
    <w:rsid w:val="002A2923"/>
    <w:rsid w:val="00487035"/>
    <w:rsid w:val="0068091E"/>
    <w:rsid w:val="007F6E2C"/>
    <w:rsid w:val="00831910"/>
    <w:rsid w:val="00940D6E"/>
    <w:rsid w:val="00AD3564"/>
    <w:rsid w:val="00C0399E"/>
    <w:rsid w:val="00C151E2"/>
    <w:rsid w:val="00C4085C"/>
    <w:rsid w:val="00D24956"/>
    <w:rsid w:val="00D5478C"/>
    <w:rsid w:val="00E00D5B"/>
    <w:rsid w:val="00E61562"/>
    <w:rsid w:val="00F24B5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BB00F"/>
  <w15:docId w15:val="{4FD1EC49-71C8-42E0-B6E7-EF463E37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Kuat1">
    <w:name w:val="Kua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0399E"/>
    <w:rPr>
      <w:color w:val="605E5C"/>
      <w:shd w:val="clear" w:color="auto" w:fill="E1DFDD"/>
    </w:rPr>
  </w:style>
  <w:style w:type="paragraph" w:styleId="Header">
    <w:name w:val="header"/>
    <w:basedOn w:val="Normal"/>
    <w:link w:val="HeaderChar"/>
    <w:uiPriority w:val="99"/>
    <w:unhideWhenUsed/>
    <w:rsid w:val="00E00D5B"/>
    <w:pPr>
      <w:tabs>
        <w:tab w:val="center" w:pos="4513"/>
        <w:tab w:val="right" w:pos="9026"/>
      </w:tabs>
    </w:pPr>
  </w:style>
  <w:style w:type="character" w:customStyle="1" w:styleId="HeaderChar">
    <w:name w:val="Header Char"/>
    <w:basedOn w:val="DefaultParagraphFont"/>
    <w:link w:val="Header"/>
    <w:uiPriority w:val="99"/>
    <w:rsid w:val="00E00D5B"/>
  </w:style>
  <w:style w:type="paragraph" w:styleId="Footer">
    <w:name w:val="footer"/>
    <w:basedOn w:val="Normal"/>
    <w:link w:val="FooterChar"/>
    <w:uiPriority w:val="99"/>
    <w:unhideWhenUsed/>
    <w:rsid w:val="00E00D5B"/>
    <w:pPr>
      <w:tabs>
        <w:tab w:val="center" w:pos="4513"/>
        <w:tab w:val="right" w:pos="9026"/>
      </w:tabs>
    </w:pPr>
  </w:style>
  <w:style w:type="character" w:customStyle="1" w:styleId="FooterChar">
    <w:name w:val="Footer Char"/>
    <w:basedOn w:val="DefaultParagraphFont"/>
    <w:link w:val="Footer"/>
    <w:uiPriority w:val="99"/>
    <w:rsid w:val="00E00D5B"/>
  </w:style>
  <w:style w:type="table" w:styleId="TableGrid">
    <w:name w:val="Table Grid"/>
    <w:basedOn w:val="TableNormal"/>
    <w:uiPriority w:val="59"/>
    <w:rsid w:val="00F24B53"/>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F24B53"/>
    <w:pPr>
      <w:spacing w:after="200"/>
      <w:jc w:val="center"/>
      <w:outlineLvl w:val="1"/>
    </w:pPr>
    <w:rPr>
      <w:b/>
      <w:sz w:val="30"/>
      <w:szCs w:val="24"/>
      <w:lang w:val="en-US" w:eastAsia="en-US"/>
    </w:rPr>
  </w:style>
  <w:style w:type="character" w:customStyle="1" w:styleId="SubtitleChar">
    <w:name w:val="Subtitle Char"/>
    <w:basedOn w:val="DefaultParagraphFont"/>
    <w:link w:val="Subtitle"/>
    <w:uiPriority w:val="11"/>
    <w:rsid w:val="00F24B53"/>
    <w:rPr>
      <w:b/>
      <w:sz w:val="3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journal.ilmudata.co.id/index.php/RIGGS" TargetMode="External"/><Relationship Id="rId13" Type="http://schemas.openxmlformats.org/officeDocument/2006/relationships/hyperlink" Target="mailto:adesofyanmulazid@uinjkt.ac.i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melia@darunnajah.ac.id"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hmad.bayhaqi@mpi.darunnajah.ac.i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hanialfalah@darunnajah.ac.i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vofarizkabir@darunnajah.ac.id" TargetMode="External"/><Relationship Id="rId14"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6484</Words>
  <Characters>36965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LAPTOPSEKEN.COM</cp:lastModifiedBy>
  <cp:revision>4</cp:revision>
  <dcterms:created xsi:type="dcterms:W3CDTF">2026-07-30T07:06:00Z</dcterms:created>
  <dcterms:modified xsi:type="dcterms:W3CDTF">2026-07-31T08:33:00Z</dcterms:modified>
</cp:coreProperties>
</file>